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37D3D" w14:textId="4FB2BDE1" w:rsidR="00994A94" w:rsidRPr="004513DB" w:rsidRDefault="00994A94"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3GPP TSG-RAN WG4 Meeting #90bis</w:t>
      </w:r>
      <w:r w:rsidRPr="004513DB">
        <w:rPr>
          <w:rFonts w:ascii="Calibri" w:eastAsia="宋体" w:hAnsi="Calibri" w:cs="Arial"/>
          <w:b/>
          <w:bCs/>
          <w:sz w:val="24"/>
        </w:rPr>
        <w:tab/>
        <w:t xml:space="preserve">                                       R4-1902906</w:t>
      </w:r>
    </w:p>
    <w:p w14:paraId="305878AF" w14:textId="77777777" w:rsidR="00994A94" w:rsidRPr="004513DB" w:rsidRDefault="00994A94"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Xian</w:t>
      </w:r>
      <w:r w:rsidRPr="004513DB">
        <w:rPr>
          <w:rFonts w:ascii="Calibri" w:eastAsia="宋体" w:hAnsi="Calibri" w:cs="Arial" w:hint="eastAsia"/>
          <w:b/>
          <w:bCs/>
          <w:sz w:val="24"/>
        </w:rPr>
        <w:t xml:space="preserve">, </w:t>
      </w:r>
      <w:r w:rsidRPr="004513DB">
        <w:rPr>
          <w:rFonts w:ascii="Calibri" w:eastAsia="宋体" w:hAnsi="Calibri" w:cs="Arial"/>
          <w:b/>
          <w:bCs/>
          <w:sz w:val="24"/>
        </w:rPr>
        <w:t>China, 8th–</w:t>
      </w:r>
      <w:r w:rsidRPr="004513DB">
        <w:rPr>
          <w:rFonts w:ascii="Calibri" w:eastAsia="宋体" w:hAnsi="Calibri" w:cs="Arial" w:hint="eastAsia"/>
          <w:b/>
          <w:bCs/>
          <w:sz w:val="24"/>
        </w:rPr>
        <w:t xml:space="preserve"> </w:t>
      </w:r>
      <w:r w:rsidRPr="004513DB">
        <w:rPr>
          <w:rFonts w:ascii="Calibri" w:eastAsia="宋体" w:hAnsi="Calibri" w:cs="Arial"/>
          <w:b/>
          <w:bCs/>
          <w:sz w:val="24"/>
        </w:rPr>
        <w:t>12th April, 2019</w:t>
      </w:r>
    </w:p>
    <w:p w14:paraId="0B5F881E" w14:textId="187CF601" w:rsidR="001677BF" w:rsidRPr="004513DB" w:rsidRDefault="001520E4"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Agenda Item:</w:t>
      </w:r>
      <w:r w:rsidRPr="004513DB">
        <w:rPr>
          <w:rFonts w:ascii="Calibri" w:eastAsia="宋体" w:hAnsi="Calibri" w:cs="Arial"/>
          <w:b/>
          <w:bCs/>
          <w:sz w:val="24"/>
        </w:rPr>
        <w:tab/>
      </w:r>
      <w:bookmarkStart w:id="0" w:name="Source"/>
      <w:bookmarkEnd w:id="0"/>
      <w:r w:rsidR="00994A94" w:rsidRPr="004513DB">
        <w:rPr>
          <w:rFonts w:ascii="Calibri" w:eastAsia="宋体" w:hAnsi="Calibri" w:cs="Arial"/>
          <w:b/>
          <w:bCs/>
          <w:sz w:val="24"/>
        </w:rPr>
        <w:t>6.10.7.2</w:t>
      </w:r>
    </w:p>
    <w:p w14:paraId="27E43747" w14:textId="6AF5967A" w:rsidR="0034111C" w:rsidRPr="004513DB" w:rsidRDefault="0034111C"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Source:</w:t>
      </w:r>
      <w:r w:rsidRPr="004513DB">
        <w:rPr>
          <w:rFonts w:ascii="Calibri" w:eastAsia="宋体" w:hAnsi="Calibri" w:cs="Arial"/>
          <w:b/>
          <w:bCs/>
          <w:sz w:val="24"/>
        </w:rPr>
        <w:tab/>
      </w:r>
      <w:r w:rsidR="000B0DFE" w:rsidRPr="004513DB">
        <w:rPr>
          <w:rFonts w:ascii="Calibri" w:eastAsia="宋体" w:hAnsi="Calibri" w:cs="Arial"/>
          <w:b/>
          <w:bCs/>
          <w:sz w:val="24"/>
        </w:rPr>
        <w:t>Intel Corporation</w:t>
      </w:r>
    </w:p>
    <w:p w14:paraId="79295770" w14:textId="5CDF7494" w:rsidR="0034111C" w:rsidRPr="004513DB" w:rsidRDefault="0034111C"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Title:</w:t>
      </w:r>
      <w:r w:rsidRPr="004513DB">
        <w:rPr>
          <w:rFonts w:ascii="Calibri" w:eastAsia="宋体" w:hAnsi="Calibri" w:cs="Arial"/>
          <w:b/>
          <w:bCs/>
          <w:sz w:val="24"/>
        </w:rPr>
        <w:tab/>
      </w:r>
      <w:r w:rsidR="00DA237A" w:rsidRPr="004513DB">
        <w:rPr>
          <w:rFonts w:ascii="Calibri" w:eastAsia="宋体" w:hAnsi="Calibri" w:cs="Arial"/>
          <w:b/>
          <w:bCs/>
          <w:sz w:val="24"/>
        </w:rPr>
        <w:t>Discussion on SCell activation delay in FR2</w:t>
      </w:r>
      <w:r w:rsidR="007C692A" w:rsidRPr="004513DB">
        <w:rPr>
          <w:rFonts w:ascii="Calibri" w:eastAsia="宋体" w:hAnsi="Calibri" w:cs="Arial"/>
          <w:b/>
          <w:bCs/>
          <w:sz w:val="24"/>
        </w:rPr>
        <w:t xml:space="preserve"> </w:t>
      </w:r>
    </w:p>
    <w:p w14:paraId="420C49D1" w14:textId="77777777" w:rsidR="0034111C" w:rsidRPr="004513DB" w:rsidRDefault="0034111C" w:rsidP="00BF1EC0">
      <w:pPr>
        <w:widowControl/>
        <w:tabs>
          <w:tab w:val="left" w:pos="1985"/>
        </w:tabs>
        <w:spacing w:after="200" w:line="276" w:lineRule="auto"/>
        <w:ind w:left="1985" w:hanging="1985"/>
        <w:jc w:val="left"/>
        <w:rPr>
          <w:rFonts w:ascii="Calibri" w:eastAsia="宋体" w:hAnsi="Calibri" w:cs="Arial"/>
          <w:b/>
          <w:bCs/>
          <w:sz w:val="24"/>
        </w:rPr>
      </w:pPr>
      <w:r w:rsidRPr="004513DB">
        <w:rPr>
          <w:rFonts w:ascii="Calibri" w:eastAsia="宋体" w:hAnsi="Calibri" w:cs="Arial"/>
          <w:b/>
          <w:bCs/>
          <w:sz w:val="24"/>
        </w:rPr>
        <w:t>Document for:</w:t>
      </w:r>
      <w:r w:rsidRPr="004513DB">
        <w:rPr>
          <w:rFonts w:ascii="Calibri" w:eastAsia="宋体" w:hAnsi="Calibri" w:cs="Arial"/>
          <w:b/>
          <w:bCs/>
          <w:sz w:val="24"/>
        </w:rPr>
        <w:tab/>
      </w:r>
      <w:r w:rsidRPr="004513DB">
        <w:rPr>
          <w:rFonts w:ascii="Calibri" w:eastAsia="宋体" w:hAnsi="Calibri" w:cs="Arial"/>
          <w:b/>
          <w:bCs/>
          <w:sz w:val="24"/>
        </w:rPr>
        <w:tab/>
      </w:r>
      <w:r w:rsidR="00E85D04" w:rsidRPr="004513DB">
        <w:rPr>
          <w:rFonts w:ascii="Calibri" w:eastAsia="宋体" w:hAnsi="Calibri"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40F457E5" w:rsidR="001D3CB6" w:rsidRDefault="00AA088C" w:rsidP="00976B7A">
      <w:r w:rsidRPr="00BC46B4">
        <w:rPr>
          <w:rFonts w:cs="Arial"/>
        </w:rPr>
        <w:t xml:space="preserve">In the </w:t>
      </w:r>
      <w:r w:rsidR="000657B2">
        <w:rPr>
          <w:rFonts w:cs="Arial"/>
        </w:rPr>
        <w:t>latest RAN4 meeting</w:t>
      </w:r>
      <w:r w:rsidR="000657B2">
        <w:t xml:space="preserve"> </w:t>
      </w:r>
      <w:r w:rsidR="0039200B">
        <w:t xml:space="preserve">NR SCell </w:t>
      </w:r>
      <w:r w:rsidR="00092623">
        <w:t>activation delay in FR2</w:t>
      </w:r>
      <w:r w:rsidR="0039200B">
        <w:t xml:space="preserve"> </w:t>
      </w:r>
      <w:r w:rsidR="00092623">
        <w:t xml:space="preserve">was </w:t>
      </w:r>
      <w:r w:rsidR="003C09A7">
        <w:t>extensively discussed</w:t>
      </w:r>
      <w:r w:rsidR="00433C80">
        <w:t xml:space="preserve"> </w:t>
      </w:r>
      <w:r w:rsidR="00E1323F">
        <w:t xml:space="preserve">but </w:t>
      </w:r>
      <w:r w:rsidR="00433C80">
        <w:t xml:space="preserve">without </w:t>
      </w:r>
      <w:r w:rsidR="0096668C">
        <w:t>agreements on this requirement</w:t>
      </w:r>
      <w:r w:rsidR="004756C6">
        <w:t xml:space="preserve"> because the exact </w:t>
      </w:r>
      <w:r w:rsidR="004756C6">
        <w:rPr>
          <w:lang w:eastAsia="zh-TW"/>
        </w:rPr>
        <w:t xml:space="preserve">procedure </w:t>
      </w:r>
      <w:r w:rsidR="00433C80">
        <w:rPr>
          <w:lang w:eastAsia="zh-TW"/>
        </w:rPr>
        <w:t xml:space="preserve">for the first SCell being activating in FR2 </w:t>
      </w:r>
      <w:r w:rsidR="004756C6">
        <w:rPr>
          <w:lang w:eastAsia="zh-TW"/>
        </w:rPr>
        <w:t xml:space="preserve">are not </w:t>
      </w:r>
      <w:r w:rsidR="00330CE2">
        <w:rPr>
          <w:lang w:eastAsia="zh-TW"/>
        </w:rPr>
        <w:t>aligned</w:t>
      </w:r>
      <w:r w:rsidR="0096668C">
        <w:t xml:space="preserve">. </w:t>
      </w:r>
      <w:r w:rsidR="00092623">
        <w:t>T</w:t>
      </w:r>
      <w:r w:rsidR="001D3CB6">
        <w:t>herefore in</w:t>
      </w:r>
      <w:r w:rsidR="001D3CB6" w:rsidRPr="00B31F87">
        <w:t xml:space="preserve"> this contribution</w:t>
      </w:r>
      <w:r w:rsidR="001D3CB6">
        <w:t xml:space="preserve"> we provided </w:t>
      </w:r>
      <w:r w:rsidR="000D1E5F">
        <w:t>further</w:t>
      </w:r>
      <w:r w:rsidR="001D3CB6">
        <w:t xml:space="preserve"> considerations </w:t>
      </w:r>
      <w:r w:rsidR="008A3596">
        <w:t xml:space="preserve">on this </w:t>
      </w:r>
      <w:r w:rsidR="00C51948">
        <w:t xml:space="preserve">open </w:t>
      </w:r>
      <w:r w:rsidR="008A3596">
        <w:t>issue</w:t>
      </w:r>
      <w:r w:rsidR="005D46B4">
        <w:t>.</w:t>
      </w:r>
    </w:p>
    <w:p w14:paraId="5AC5D6B4" w14:textId="6452A6AE" w:rsidR="004756C6" w:rsidRDefault="00BC46B4" w:rsidP="00433C80">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68621360" w14:textId="78DCBF5C" w:rsidR="00433C80" w:rsidRDefault="00433C80" w:rsidP="00433C80">
      <w:r>
        <w:rPr>
          <w:lang w:val="en-GB"/>
        </w:rPr>
        <w:t>In [</w:t>
      </w:r>
      <w:r w:rsidR="00DA237A">
        <w:rPr>
          <w:lang w:val="en-GB"/>
        </w:rPr>
        <w:t>1</w:t>
      </w:r>
      <w:r>
        <w:rPr>
          <w:lang w:val="en-GB"/>
        </w:rPr>
        <w:t>] there are two possible alternatives for</w:t>
      </w:r>
      <w:r w:rsidRPr="008A3596">
        <w:t xml:space="preserve"> the first SCell </w:t>
      </w:r>
      <w:r>
        <w:t xml:space="preserve">being activation </w:t>
      </w:r>
      <w:r w:rsidRPr="008A3596">
        <w:t>in a FR2 band</w:t>
      </w:r>
      <w:r>
        <w:t xml:space="preserve">. </w:t>
      </w:r>
    </w:p>
    <w:tbl>
      <w:tblPr>
        <w:tblStyle w:val="TableGrid"/>
        <w:tblW w:w="0" w:type="auto"/>
        <w:tblLook w:val="04A0" w:firstRow="1" w:lastRow="0" w:firstColumn="1" w:lastColumn="0" w:noHBand="0" w:noVBand="1"/>
      </w:tblPr>
      <w:tblGrid>
        <w:gridCol w:w="9629"/>
      </w:tblGrid>
      <w:tr w:rsidR="00433C80" w14:paraId="0B8BC930" w14:textId="77777777" w:rsidTr="005013C3">
        <w:tc>
          <w:tcPr>
            <w:tcW w:w="9629" w:type="dxa"/>
          </w:tcPr>
          <w:p w14:paraId="158E42F6" w14:textId="77777777" w:rsidR="00433C80" w:rsidRPr="008A3596" w:rsidRDefault="00433C80" w:rsidP="005013C3">
            <w:pPr>
              <w:numPr>
                <w:ilvl w:val="0"/>
                <w:numId w:val="27"/>
              </w:numPr>
              <w:overflowPunct w:val="0"/>
              <w:autoSpaceDE w:val="0"/>
              <w:autoSpaceDN w:val="0"/>
              <w:adjustRightInd w:val="0"/>
              <w:spacing w:after="180"/>
            </w:pPr>
            <w:r w:rsidRPr="008A3596">
              <w:t>Consider the following options for the activation procedure for the first SCell in an FR2 band</w:t>
            </w:r>
          </w:p>
          <w:p w14:paraId="0DAB9F3A" w14:textId="77777777" w:rsidR="00433C80" w:rsidRPr="008A3596" w:rsidRDefault="00433C80" w:rsidP="005013C3">
            <w:pPr>
              <w:numPr>
                <w:ilvl w:val="1"/>
                <w:numId w:val="27"/>
              </w:numPr>
              <w:overflowPunct w:val="0"/>
              <w:autoSpaceDE w:val="0"/>
              <w:autoSpaceDN w:val="0"/>
              <w:adjustRightInd w:val="0"/>
              <w:spacing w:after="180"/>
            </w:pPr>
            <w:r w:rsidRPr="008A3596">
              <w:t>Option 1: activation of TCI states for PDCCH/PDSCH is part of SCell activation</w:t>
            </w:r>
          </w:p>
          <w:p w14:paraId="0C082EF8" w14:textId="77777777" w:rsidR="00433C80" w:rsidRPr="008A3596" w:rsidRDefault="00433C80" w:rsidP="005013C3">
            <w:pPr>
              <w:numPr>
                <w:ilvl w:val="2"/>
                <w:numId w:val="27"/>
              </w:numPr>
              <w:overflowPunct w:val="0"/>
              <w:autoSpaceDE w:val="0"/>
              <w:autoSpaceDN w:val="0"/>
              <w:adjustRightInd w:val="0"/>
              <w:spacing w:after="180"/>
            </w:pPr>
            <w:r w:rsidRPr="008A3596">
              <w:t>Case 1: SCell activation command comes before MAC-CE command for TCI state activation</w:t>
            </w:r>
          </w:p>
          <w:p w14:paraId="30FE8ABB" w14:textId="77777777" w:rsidR="00433C80" w:rsidRPr="008A3596" w:rsidRDefault="00433C80" w:rsidP="005013C3">
            <w:pPr>
              <w:numPr>
                <w:ilvl w:val="2"/>
                <w:numId w:val="27"/>
              </w:numPr>
              <w:overflowPunct w:val="0"/>
              <w:autoSpaceDE w:val="0"/>
              <w:autoSpaceDN w:val="0"/>
              <w:adjustRightInd w:val="0"/>
              <w:spacing w:after="180"/>
            </w:pPr>
            <w:r w:rsidRPr="008A3596">
              <w:t>Case 2: SCell activation and TCI state activation are bundled in the same command</w:t>
            </w:r>
          </w:p>
          <w:p w14:paraId="301CE8F9" w14:textId="77777777" w:rsidR="00433C80" w:rsidRPr="008A3596" w:rsidRDefault="00433C80" w:rsidP="005013C3">
            <w:pPr>
              <w:numPr>
                <w:ilvl w:val="2"/>
                <w:numId w:val="27"/>
              </w:numPr>
              <w:overflowPunct w:val="0"/>
              <w:autoSpaceDE w:val="0"/>
              <w:autoSpaceDN w:val="0"/>
              <w:adjustRightInd w:val="0"/>
              <w:spacing w:after="180"/>
            </w:pPr>
            <w:r w:rsidRPr="008A3596">
              <w:t>Other possibilities are not precluded</w:t>
            </w:r>
          </w:p>
          <w:p w14:paraId="60226568" w14:textId="77777777" w:rsidR="00433C80" w:rsidRPr="008A3596" w:rsidRDefault="00433C80" w:rsidP="005013C3">
            <w:pPr>
              <w:numPr>
                <w:ilvl w:val="2"/>
                <w:numId w:val="27"/>
              </w:numPr>
              <w:overflowPunct w:val="0"/>
              <w:autoSpaceDE w:val="0"/>
              <w:autoSpaceDN w:val="0"/>
              <w:adjustRightInd w:val="0"/>
              <w:spacing w:after="180"/>
            </w:pPr>
            <w:r w:rsidRPr="008A3596">
              <w:t>Study if RAN4 needs to define requirements for each of the cases or just in one case</w:t>
            </w:r>
          </w:p>
          <w:p w14:paraId="22993587" w14:textId="77777777" w:rsidR="00433C80" w:rsidRPr="008A3596" w:rsidRDefault="00433C80" w:rsidP="005013C3">
            <w:pPr>
              <w:numPr>
                <w:ilvl w:val="2"/>
                <w:numId w:val="27"/>
              </w:numPr>
              <w:overflowPunct w:val="0"/>
              <w:autoSpaceDE w:val="0"/>
              <w:autoSpaceDN w:val="0"/>
              <w:adjustRightInd w:val="0"/>
              <w:spacing w:after="180"/>
            </w:pPr>
            <w:r w:rsidRPr="008A3596">
              <w:t xml:space="preserve">Time required for processing and application of each of these commands </w:t>
            </w:r>
          </w:p>
          <w:p w14:paraId="6AA74159" w14:textId="77777777" w:rsidR="00433C80" w:rsidRPr="008A3596" w:rsidRDefault="00433C80" w:rsidP="005013C3">
            <w:pPr>
              <w:numPr>
                <w:ilvl w:val="2"/>
                <w:numId w:val="27"/>
              </w:numPr>
              <w:overflowPunct w:val="0"/>
              <w:autoSpaceDE w:val="0"/>
              <w:autoSpaceDN w:val="0"/>
              <w:adjustRightInd w:val="0"/>
              <w:spacing w:after="180"/>
            </w:pPr>
            <w:r w:rsidRPr="008A3596">
              <w:t>If TCI state activation happens after MAC-CE for Scell activation does the UE need to provide a L1-RSRP report before network can select active TCI state</w:t>
            </w:r>
          </w:p>
          <w:p w14:paraId="2D82F436" w14:textId="77777777" w:rsidR="00433C80" w:rsidRPr="008A3596" w:rsidRDefault="00433C80" w:rsidP="005013C3">
            <w:pPr>
              <w:numPr>
                <w:ilvl w:val="1"/>
                <w:numId w:val="27"/>
              </w:numPr>
              <w:overflowPunct w:val="0"/>
              <w:autoSpaceDE w:val="0"/>
              <w:autoSpaceDN w:val="0"/>
              <w:adjustRightInd w:val="0"/>
              <w:spacing w:after="180"/>
            </w:pPr>
            <w:r w:rsidRPr="008A3596">
              <w:t>Option 2: activation of TCI states for PDCCH/PDSCH is not part of SCell activation</w:t>
            </w:r>
          </w:p>
          <w:p w14:paraId="13DF7F48" w14:textId="77777777" w:rsidR="00433C80" w:rsidRPr="008A3596" w:rsidRDefault="00433C80" w:rsidP="005013C3">
            <w:pPr>
              <w:numPr>
                <w:ilvl w:val="2"/>
                <w:numId w:val="27"/>
              </w:numPr>
              <w:overflowPunct w:val="0"/>
              <w:autoSpaceDE w:val="0"/>
              <w:autoSpaceDN w:val="0"/>
              <w:adjustRightInd w:val="0"/>
              <w:spacing w:after="180"/>
            </w:pPr>
            <w:r w:rsidRPr="008A3596">
              <w:t xml:space="preserve">UE assumes PDCCH/PDSCH is QCL-ed with a UE reported beam before receiving the activation command of PDCCH/PDSCH TCI states </w:t>
            </w:r>
          </w:p>
          <w:p w14:paraId="0022A176" w14:textId="77777777" w:rsidR="00433C80" w:rsidRPr="008A3596" w:rsidRDefault="00433C80" w:rsidP="005013C3">
            <w:pPr>
              <w:numPr>
                <w:ilvl w:val="2"/>
                <w:numId w:val="27"/>
              </w:numPr>
              <w:overflowPunct w:val="0"/>
              <w:autoSpaceDE w:val="0"/>
              <w:autoSpaceDN w:val="0"/>
              <w:adjustRightInd w:val="0"/>
              <w:spacing w:after="180"/>
            </w:pPr>
            <w:r w:rsidRPr="008A3596">
              <w:t>UE assumes CSI-RS for CQI is QCL-ed with a UE reported beam before receiving the configuration of TCI states for CSI-RS for CQI</w:t>
            </w:r>
          </w:p>
          <w:p w14:paraId="4B98D71A" w14:textId="77777777" w:rsidR="00433C80" w:rsidRPr="008A3596" w:rsidRDefault="00433C80" w:rsidP="005013C3">
            <w:pPr>
              <w:numPr>
                <w:ilvl w:val="2"/>
                <w:numId w:val="27"/>
              </w:numPr>
              <w:overflowPunct w:val="0"/>
              <w:autoSpaceDE w:val="0"/>
              <w:autoSpaceDN w:val="0"/>
              <w:adjustRightInd w:val="0"/>
              <w:spacing w:after="180"/>
            </w:pPr>
            <w:r w:rsidRPr="008A3596">
              <w:t>FFS if L3 measurement report before SCell activation can be used for the QCL assumption, or L1-RSRP measurement and report are needed during Scell activation process</w:t>
            </w:r>
          </w:p>
          <w:p w14:paraId="4180D2DE" w14:textId="77777777" w:rsidR="00433C80" w:rsidRPr="008A3596" w:rsidRDefault="00433C80" w:rsidP="005013C3">
            <w:pPr>
              <w:numPr>
                <w:ilvl w:val="1"/>
                <w:numId w:val="27"/>
              </w:numPr>
              <w:overflowPunct w:val="0"/>
              <w:autoSpaceDE w:val="0"/>
              <w:autoSpaceDN w:val="0"/>
              <w:adjustRightInd w:val="0"/>
              <w:spacing w:after="180"/>
            </w:pPr>
            <w:r w:rsidRPr="008A3596">
              <w:t>Other options are not precluded</w:t>
            </w:r>
          </w:p>
          <w:p w14:paraId="06266F62" w14:textId="77777777" w:rsidR="00433C80" w:rsidRDefault="00433C80" w:rsidP="005013C3">
            <w:pPr>
              <w:overflowPunct w:val="0"/>
              <w:autoSpaceDE w:val="0"/>
              <w:autoSpaceDN w:val="0"/>
              <w:adjustRightInd w:val="0"/>
              <w:spacing w:after="180"/>
            </w:pPr>
          </w:p>
        </w:tc>
      </w:tr>
    </w:tbl>
    <w:p w14:paraId="0CB1EDF6" w14:textId="77777777" w:rsidR="00433C80" w:rsidRDefault="00433C80" w:rsidP="00433C80">
      <w:pPr>
        <w:rPr>
          <w:rFonts w:cs="Arial"/>
        </w:rPr>
      </w:pPr>
    </w:p>
    <w:p w14:paraId="6E7B37ED" w14:textId="27CC566B" w:rsidR="00D02B5B" w:rsidRDefault="00AA3058" w:rsidP="00433C80">
      <w:pPr>
        <w:rPr>
          <w:lang w:val="en-GB"/>
        </w:rPr>
      </w:pPr>
      <w:r>
        <w:t xml:space="preserve">In general, </w:t>
      </w:r>
      <w:r w:rsidR="00D02B5B">
        <w:rPr>
          <w:lang w:val="en-GB"/>
        </w:rPr>
        <w:t>the procedure for SCell activation in FR2</w:t>
      </w:r>
      <w:r w:rsidR="00B1067A">
        <w:rPr>
          <w:lang w:val="en-GB"/>
        </w:rPr>
        <w:t xml:space="preserve"> </w:t>
      </w:r>
      <w:r w:rsidR="00D02B5B">
        <w:rPr>
          <w:lang w:val="en-GB"/>
        </w:rPr>
        <w:t>are given</w:t>
      </w:r>
      <w:r>
        <w:rPr>
          <w:lang w:val="en-GB"/>
        </w:rPr>
        <w:t xml:space="preserve"> in Figure 1 below</w:t>
      </w:r>
      <w:r w:rsidR="00BF1EC0">
        <w:rPr>
          <w:lang w:val="en-GB"/>
        </w:rPr>
        <w:t xml:space="preserve">, in which the beam indication (e.g. </w:t>
      </w:r>
      <w:r w:rsidR="00080317" w:rsidRPr="008A3596">
        <w:lastRenderedPageBreak/>
        <w:t>activation of TCI states for PDCCH/PDSCH</w:t>
      </w:r>
      <w:r w:rsidR="00BF1EC0">
        <w:t xml:space="preserve">) </w:t>
      </w:r>
      <w:r w:rsidR="00080317">
        <w:t>wi</w:t>
      </w:r>
      <w:r w:rsidR="00C35D6F">
        <w:t>ll not be</w:t>
      </w:r>
      <w:r w:rsidR="00080317">
        <w:t xml:space="preserve"> triggered</w:t>
      </w:r>
      <w:r w:rsidR="00612E9E">
        <w:t xml:space="preserve"> before SCell activation completed (e.g. at T(m+X) in Figure 1).</w:t>
      </w:r>
    </w:p>
    <w:p w14:paraId="293AA1DD" w14:textId="0A2971D4" w:rsidR="00D02B5B" w:rsidRDefault="00D02B5B" w:rsidP="00FF156D">
      <w:pPr>
        <w:pStyle w:val="ListParagraph"/>
        <w:numPr>
          <w:ilvl w:val="0"/>
          <w:numId w:val="32"/>
        </w:numPr>
        <w:rPr>
          <w:lang w:val="en-GB"/>
        </w:rPr>
      </w:pPr>
      <w:r w:rsidRPr="00A80049">
        <w:rPr>
          <w:lang w:val="en-GB"/>
        </w:rPr>
        <w:t>Step 1)</w:t>
      </w:r>
      <w:r w:rsidR="00AA3058" w:rsidRPr="00A80049">
        <w:rPr>
          <w:lang w:val="en-GB"/>
        </w:rPr>
        <w:t xml:space="preserve"> </w:t>
      </w:r>
      <w:r w:rsidR="00D534EF" w:rsidRPr="00A80049">
        <w:rPr>
          <w:lang w:val="en-GB"/>
        </w:rPr>
        <w:t xml:space="preserve">Before SCell configuration, UE </w:t>
      </w:r>
      <w:r w:rsidR="00861B3E">
        <w:rPr>
          <w:lang w:val="en-GB"/>
        </w:rPr>
        <w:t xml:space="preserve">performs </w:t>
      </w:r>
      <w:r w:rsidR="00D534EF" w:rsidRPr="00A80049">
        <w:rPr>
          <w:lang w:val="en-GB"/>
        </w:rPr>
        <w:t>measure</w:t>
      </w:r>
      <w:r w:rsidR="00861B3E">
        <w:rPr>
          <w:lang w:val="en-GB"/>
        </w:rPr>
        <w:t>ments on</w:t>
      </w:r>
      <w:r w:rsidR="00D534EF" w:rsidRPr="00A80049">
        <w:rPr>
          <w:lang w:val="en-GB"/>
        </w:rPr>
        <w:t xml:space="preserve"> the neighbour cells</w:t>
      </w:r>
      <w:r w:rsidR="00A80049" w:rsidRPr="00A80049">
        <w:rPr>
          <w:lang w:val="en-GB"/>
        </w:rPr>
        <w:t xml:space="preserve">. </w:t>
      </w:r>
      <w:r w:rsidR="00A80049">
        <w:rPr>
          <w:lang w:val="en-GB"/>
        </w:rPr>
        <w:t xml:space="preserve">If the measurement configuration including beam index reporting, </w:t>
      </w:r>
      <w:r w:rsidR="00330CE2">
        <w:rPr>
          <w:lang w:val="en-GB"/>
        </w:rPr>
        <w:t xml:space="preserve">the index of </w:t>
      </w:r>
      <w:r w:rsidR="00DA237A">
        <w:rPr>
          <w:lang w:val="en-GB"/>
        </w:rPr>
        <w:t>several</w:t>
      </w:r>
      <w:r w:rsidR="00330CE2">
        <w:rPr>
          <w:lang w:val="en-GB"/>
        </w:rPr>
        <w:t xml:space="preserve"> strongest </w:t>
      </w:r>
      <w:r w:rsidR="0081064C">
        <w:rPr>
          <w:lang w:val="en-GB"/>
        </w:rPr>
        <w:t>TX beam</w:t>
      </w:r>
      <w:r w:rsidR="00330CE2">
        <w:rPr>
          <w:lang w:val="en-GB"/>
        </w:rPr>
        <w:t>s UE received</w:t>
      </w:r>
      <w:r w:rsidR="0081064C">
        <w:rPr>
          <w:lang w:val="en-GB"/>
        </w:rPr>
        <w:t xml:space="preserve"> will be reported to gNB. UE can </w:t>
      </w:r>
      <w:r w:rsidR="00330CE2">
        <w:rPr>
          <w:lang w:val="en-GB"/>
        </w:rPr>
        <w:t xml:space="preserve">also </w:t>
      </w:r>
      <w:r w:rsidR="0081064C">
        <w:rPr>
          <w:lang w:val="en-GB"/>
        </w:rPr>
        <w:t>be aware the</w:t>
      </w:r>
      <w:r w:rsidR="00330CE2">
        <w:rPr>
          <w:lang w:val="en-GB"/>
        </w:rPr>
        <w:t>se</w:t>
      </w:r>
      <w:r w:rsidR="0081064C">
        <w:rPr>
          <w:lang w:val="en-GB"/>
        </w:rPr>
        <w:t xml:space="preserve"> strongest TX beams. </w:t>
      </w:r>
      <w:r w:rsidR="00A80049">
        <w:rPr>
          <w:lang w:val="en-GB"/>
        </w:rPr>
        <w:t xml:space="preserve"> </w:t>
      </w:r>
    </w:p>
    <w:p w14:paraId="52792901" w14:textId="0D685D03" w:rsidR="00FF156D" w:rsidRPr="00861B3E" w:rsidRDefault="00D02B5B" w:rsidP="00861B3E">
      <w:pPr>
        <w:pStyle w:val="ListParagraph"/>
        <w:numPr>
          <w:ilvl w:val="0"/>
          <w:numId w:val="32"/>
        </w:numPr>
        <w:rPr>
          <w:lang w:val="en-GB"/>
        </w:rPr>
      </w:pPr>
      <w:r w:rsidRPr="00A80049">
        <w:rPr>
          <w:lang w:val="en-GB"/>
        </w:rPr>
        <w:t xml:space="preserve">Step 2) </w:t>
      </w:r>
      <w:r w:rsidR="0081064C">
        <w:rPr>
          <w:lang w:val="en-GB"/>
        </w:rPr>
        <w:t xml:space="preserve">After gNB receiving the </w:t>
      </w:r>
      <w:r w:rsidR="00330CE2">
        <w:rPr>
          <w:lang w:val="en-GB"/>
        </w:rPr>
        <w:t xml:space="preserve">measurement </w:t>
      </w:r>
      <w:r w:rsidR="0081064C">
        <w:rPr>
          <w:lang w:val="en-GB"/>
        </w:rPr>
        <w:t xml:space="preserve">reporting </w:t>
      </w:r>
      <w:r w:rsidR="00330CE2">
        <w:rPr>
          <w:lang w:val="en-GB"/>
        </w:rPr>
        <w:t>of SCells to be activated</w:t>
      </w:r>
      <w:r w:rsidR="00FF156D">
        <w:rPr>
          <w:lang w:val="en-GB"/>
        </w:rPr>
        <w:t>,</w:t>
      </w:r>
      <w:r w:rsidR="00861B3E" w:rsidRPr="00861B3E">
        <w:rPr>
          <w:lang w:val="en-GB"/>
        </w:rPr>
        <w:t xml:space="preserve"> </w:t>
      </w:r>
      <w:r w:rsidR="00861B3E">
        <w:rPr>
          <w:lang w:val="en-GB"/>
        </w:rPr>
        <w:t>t</w:t>
      </w:r>
      <w:r w:rsidR="00861B3E" w:rsidRPr="00A80049">
        <w:rPr>
          <w:lang w:val="en-GB"/>
        </w:rPr>
        <w:t xml:space="preserve">he possible candidates of SCell to be activated will be </w:t>
      </w:r>
      <w:r w:rsidR="00861B3E">
        <w:rPr>
          <w:lang w:val="en-GB"/>
        </w:rPr>
        <w:t xml:space="preserve">selected by </w:t>
      </w:r>
      <w:r w:rsidR="00861B3E" w:rsidRPr="00A80049">
        <w:rPr>
          <w:lang w:val="en-GB"/>
        </w:rPr>
        <w:t>gNB.</w:t>
      </w:r>
      <w:r w:rsidR="00861B3E">
        <w:rPr>
          <w:lang w:val="en-GB"/>
        </w:rPr>
        <w:t xml:space="preserve"> Then</w:t>
      </w:r>
      <w:r w:rsidR="00FF156D" w:rsidRPr="00861B3E">
        <w:rPr>
          <w:lang w:val="en-GB"/>
        </w:rPr>
        <w:t xml:space="preserve"> it can forward “</w:t>
      </w:r>
      <w:r w:rsidR="00861B3E">
        <w:rPr>
          <w:lang w:val="en-GB"/>
        </w:rPr>
        <w:t xml:space="preserve">Scell </w:t>
      </w:r>
      <w:r w:rsidR="00647454" w:rsidRPr="00861B3E">
        <w:rPr>
          <w:lang w:val="en-GB"/>
        </w:rPr>
        <w:t>configuration” to UE</w:t>
      </w:r>
      <w:r w:rsidR="00330CE2" w:rsidRPr="00861B3E">
        <w:rPr>
          <w:lang w:val="en-GB"/>
        </w:rPr>
        <w:t>.</w:t>
      </w:r>
    </w:p>
    <w:p w14:paraId="32042C92" w14:textId="5AA88E04" w:rsidR="008B29DB" w:rsidRDefault="00FF156D" w:rsidP="001B3483">
      <w:pPr>
        <w:pStyle w:val="ListParagraph"/>
        <w:numPr>
          <w:ilvl w:val="0"/>
          <w:numId w:val="32"/>
        </w:numPr>
        <w:rPr>
          <w:lang w:val="en-GB"/>
        </w:rPr>
      </w:pPr>
      <w:r>
        <w:rPr>
          <w:lang w:val="en-GB"/>
        </w:rPr>
        <w:t>S</w:t>
      </w:r>
      <w:r w:rsidR="00861B3E">
        <w:rPr>
          <w:lang w:val="en-GB"/>
        </w:rPr>
        <w:t xml:space="preserve">tep </w:t>
      </w:r>
      <w:r>
        <w:rPr>
          <w:lang w:val="en-GB"/>
        </w:rPr>
        <w:t xml:space="preserve">3) </w:t>
      </w:r>
      <w:r w:rsidR="001B3483">
        <w:rPr>
          <w:lang w:val="en-GB"/>
        </w:rPr>
        <w:t xml:space="preserve">When UE SCell activation was triggered by necessary MAC CE, </w:t>
      </w:r>
      <w:r w:rsidR="001B3483" w:rsidRPr="001B3483">
        <w:rPr>
          <w:lang w:val="en-GB"/>
        </w:rPr>
        <w:t xml:space="preserve">UE will </w:t>
      </w:r>
      <w:r w:rsidR="00DA237A">
        <w:rPr>
          <w:lang w:val="en-GB"/>
        </w:rPr>
        <w:t>start</w:t>
      </w:r>
      <w:r w:rsidR="001B3483" w:rsidRPr="001B3483">
        <w:rPr>
          <w:lang w:val="en-GB"/>
        </w:rPr>
        <w:t xml:space="preserve"> SCell activation procedure including </w:t>
      </w:r>
      <w:r w:rsidR="001B3483">
        <w:rPr>
          <w:lang w:val="en-GB"/>
        </w:rPr>
        <w:t xml:space="preserve">MAC CE decoding, RF chain warming up, </w:t>
      </w:r>
      <w:r w:rsidR="001B3483" w:rsidRPr="001B3483">
        <w:rPr>
          <w:lang w:val="en-GB"/>
        </w:rPr>
        <w:t xml:space="preserve">AGC gain settling, cell search. </w:t>
      </w:r>
    </w:p>
    <w:p w14:paraId="2B81C8A7" w14:textId="1659F2B7" w:rsidR="001B3483" w:rsidRDefault="008B29DB" w:rsidP="001B3483">
      <w:pPr>
        <w:pStyle w:val="ListParagraph"/>
        <w:numPr>
          <w:ilvl w:val="0"/>
          <w:numId w:val="32"/>
        </w:numPr>
        <w:rPr>
          <w:lang w:val="en-GB"/>
        </w:rPr>
      </w:pPr>
      <w:r>
        <w:rPr>
          <w:lang w:val="en-GB"/>
        </w:rPr>
        <w:t xml:space="preserve">Step </w:t>
      </w:r>
      <w:r w:rsidR="00330CE2">
        <w:rPr>
          <w:lang w:val="en-GB"/>
        </w:rPr>
        <w:t>4</w:t>
      </w:r>
      <w:r>
        <w:rPr>
          <w:lang w:val="en-GB"/>
        </w:rPr>
        <w:t xml:space="preserve">) </w:t>
      </w:r>
      <w:r w:rsidR="001B3483" w:rsidRPr="001B3483">
        <w:rPr>
          <w:lang w:val="en-GB"/>
        </w:rPr>
        <w:t>After the activation</w:t>
      </w:r>
      <w:r w:rsidR="00DA237A">
        <w:rPr>
          <w:lang w:val="en-GB"/>
        </w:rPr>
        <w:t xml:space="preserve"> finished by valid SCEll CSI reporting to gNB</w:t>
      </w:r>
      <w:r w:rsidR="001B3483" w:rsidRPr="001B3483">
        <w:rPr>
          <w:lang w:val="en-GB"/>
        </w:rPr>
        <w:t>, normal SCell operations should be app</w:t>
      </w:r>
      <w:r w:rsidR="00F04394">
        <w:rPr>
          <w:lang w:val="en-GB"/>
        </w:rPr>
        <w:t xml:space="preserve">lied, including </w:t>
      </w:r>
      <w:r w:rsidR="001B3483" w:rsidRPr="001B3483">
        <w:rPr>
          <w:lang w:val="en-GB"/>
        </w:rPr>
        <w:t>PDCCH monitoring, and PUCCH transmissions.</w:t>
      </w:r>
    </w:p>
    <w:p w14:paraId="1031CEEB" w14:textId="77777777" w:rsidR="00F33EA3" w:rsidRDefault="00F33EA3" w:rsidP="00F33EA3">
      <w:pPr>
        <w:pStyle w:val="ListParagraph"/>
        <w:rPr>
          <w:lang w:val="en-GB"/>
        </w:rPr>
      </w:pPr>
    </w:p>
    <w:p w14:paraId="61DBC232" w14:textId="2D94B602" w:rsidR="00F33EA3" w:rsidRDefault="00BB3C04" w:rsidP="00F33EA3">
      <w:pPr>
        <w:pStyle w:val="ListParagraph"/>
        <w:jc w:val="center"/>
        <w:rPr>
          <w:lang w:val="en-GB"/>
        </w:rPr>
      </w:pPr>
      <w:r>
        <w:object w:dxaOrig="8424" w:dyaOrig="10020" w14:anchorId="4F4BE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5pt;height:501.15pt" o:ole="">
            <v:imagedata r:id="rId8" o:title=""/>
          </v:shape>
          <o:OLEObject Type="Embed" ProgID="Visio.Drawing.15" ShapeID="_x0000_i1025" DrawAspect="Content" ObjectID="_1615659049" r:id="rId9"/>
        </w:object>
      </w:r>
    </w:p>
    <w:p w14:paraId="366F2051" w14:textId="32DD8E72" w:rsidR="001D2962" w:rsidRDefault="00F33EA3" w:rsidP="00F33EA3">
      <w:pPr>
        <w:pStyle w:val="ListParagraph"/>
        <w:jc w:val="center"/>
      </w:pPr>
      <w:r w:rsidRPr="00F04394">
        <w:t>F</w:t>
      </w:r>
      <w:r w:rsidR="00272D84" w:rsidRPr="00F04394">
        <w:t xml:space="preserve">igure </w:t>
      </w:r>
      <w:r w:rsidR="009858B5">
        <w:rPr>
          <w:noProof/>
        </w:rPr>
        <w:fldChar w:fldCharType="begin"/>
      </w:r>
      <w:r w:rsidR="009858B5">
        <w:rPr>
          <w:noProof/>
        </w:rPr>
        <w:instrText xml:space="preserve"> SEQ Figure \* ARABIC </w:instrText>
      </w:r>
      <w:r w:rsidR="009858B5">
        <w:rPr>
          <w:noProof/>
        </w:rPr>
        <w:fldChar w:fldCharType="separate"/>
      </w:r>
      <w:r w:rsidR="00D50017">
        <w:rPr>
          <w:noProof/>
        </w:rPr>
        <w:t>1</w:t>
      </w:r>
      <w:r w:rsidR="009858B5">
        <w:rPr>
          <w:noProof/>
        </w:rPr>
        <w:fldChar w:fldCharType="end"/>
      </w:r>
      <w:r w:rsidR="00272D84" w:rsidRPr="00F04394">
        <w:t>. SCell activation procedure</w:t>
      </w:r>
      <w:r w:rsidRPr="00F04394">
        <w:t xml:space="preserve"> with the wide beam</w:t>
      </w:r>
    </w:p>
    <w:p w14:paraId="52000650" w14:textId="77777777" w:rsidR="00F04394" w:rsidRPr="00F04394" w:rsidRDefault="00F04394" w:rsidP="00F33EA3">
      <w:pPr>
        <w:pStyle w:val="ListParagraph"/>
        <w:jc w:val="center"/>
        <w:rPr>
          <w:lang w:val="en-GB"/>
        </w:rPr>
      </w:pPr>
    </w:p>
    <w:p w14:paraId="0FD272E9" w14:textId="58A117A1" w:rsidR="00C32ED6" w:rsidRDefault="001D2962" w:rsidP="00433C80">
      <w:pPr>
        <w:rPr>
          <w:b/>
          <w:lang w:val="en-GB"/>
        </w:rPr>
      </w:pPr>
      <w:r w:rsidRPr="008B29DB">
        <w:rPr>
          <w:b/>
          <w:u w:val="single"/>
          <w:lang w:val="en-GB"/>
        </w:rPr>
        <w:t>Observation 1:</w:t>
      </w:r>
      <w:r>
        <w:rPr>
          <w:lang w:val="en-GB"/>
        </w:rPr>
        <w:t xml:space="preserve"> </w:t>
      </w:r>
      <w:r w:rsidR="00945F89">
        <w:rPr>
          <w:b/>
          <w:lang w:val="en-GB"/>
        </w:rPr>
        <w:t>In principle</w:t>
      </w:r>
      <w:r w:rsidRPr="008B29DB">
        <w:rPr>
          <w:b/>
          <w:lang w:val="en-GB"/>
        </w:rPr>
        <w:t xml:space="preserve"> the SCell activation </w:t>
      </w:r>
      <w:r w:rsidR="00C32ED6">
        <w:rPr>
          <w:b/>
          <w:lang w:val="en-GB"/>
        </w:rPr>
        <w:t>procedure</w:t>
      </w:r>
      <w:r w:rsidR="00F04394">
        <w:rPr>
          <w:b/>
          <w:lang w:val="en-GB"/>
        </w:rPr>
        <w:t xml:space="preserve"> </w:t>
      </w:r>
      <w:r w:rsidR="00945F89">
        <w:rPr>
          <w:b/>
          <w:lang w:val="en-GB"/>
        </w:rPr>
        <w:t>in FR2 can</w:t>
      </w:r>
      <w:r w:rsidRPr="008B29DB">
        <w:rPr>
          <w:b/>
          <w:lang w:val="en-GB"/>
        </w:rPr>
        <w:t xml:space="preserve"> begin</w:t>
      </w:r>
      <w:r w:rsidR="00C32ED6">
        <w:rPr>
          <w:b/>
          <w:lang w:val="en-GB"/>
        </w:rPr>
        <w:t xml:space="preserve"> from the MAC CE reception </w:t>
      </w:r>
      <w:r w:rsidRPr="008B29DB">
        <w:rPr>
          <w:b/>
          <w:lang w:val="en-GB"/>
        </w:rPr>
        <w:t>and end</w:t>
      </w:r>
      <w:r w:rsidR="00C32ED6">
        <w:rPr>
          <w:b/>
          <w:lang w:val="en-GB"/>
        </w:rPr>
        <w:t xml:space="preserve"> by </w:t>
      </w:r>
      <w:r w:rsidR="00BB3C04">
        <w:rPr>
          <w:b/>
          <w:lang w:val="en-GB"/>
        </w:rPr>
        <w:t xml:space="preserve">the valid </w:t>
      </w:r>
      <w:r w:rsidR="00C32ED6">
        <w:rPr>
          <w:b/>
          <w:lang w:val="en-GB"/>
        </w:rPr>
        <w:t>CSI feedback to gNB</w:t>
      </w:r>
      <w:r w:rsidRPr="008B29DB">
        <w:rPr>
          <w:b/>
          <w:lang w:val="en-GB"/>
        </w:rPr>
        <w:t>.</w:t>
      </w:r>
    </w:p>
    <w:p w14:paraId="635FF1F8" w14:textId="23A0B2B7" w:rsidR="0064370E" w:rsidRDefault="0064370E" w:rsidP="0064370E">
      <w:pPr>
        <w:rPr>
          <w:lang w:val="en-GB"/>
        </w:rPr>
      </w:pPr>
      <w:r w:rsidRPr="0064370E">
        <w:rPr>
          <w:lang w:val="en-GB"/>
        </w:rPr>
        <w:lastRenderedPageBreak/>
        <w:t xml:space="preserve">However, </w:t>
      </w:r>
      <w:r>
        <w:rPr>
          <w:lang w:val="en-GB"/>
        </w:rPr>
        <w:t>with</w:t>
      </w:r>
      <w:r w:rsidRPr="0064370E">
        <w:rPr>
          <w:lang w:val="en-GB"/>
        </w:rPr>
        <w:t xml:space="preserve"> the legacy SCell activation procedure</w:t>
      </w:r>
      <w:r w:rsidR="00080317">
        <w:rPr>
          <w:lang w:val="en-GB"/>
        </w:rPr>
        <w:t xml:space="preserve"> above</w:t>
      </w:r>
      <w:r w:rsidRPr="0064370E">
        <w:rPr>
          <w:lang w:val="en-GB"/>
        </w:rPr>
        <w:t xml:space="preserve">, CSI report from UE after the finish SCell activation </w:t>
      </w:r>
      <w:r w:rsidR="00A81D06">
        <w:rPr>
          <w:lang w:val="en-GB"/>
        </w:rPr>
        <w:t xml:space="preserve">was based on the </w:t>
      </w:r>
      <w:r w:rsidR="00F4338F">
        <w:rPr>
          <w:lang w:val="en-GB"/>
        </w:rPr>
        <w:t>wide</w:t>
      </w:r>
      <w:r w:rsidR="00A81D06">
        <w:rPr>
          <w:lang w:val="en-GB"/>
        </w:rPr>
        <w:t xml:space="preserve"> beam information and </w:t>
      </w:r>
      <w:r>
        <w:rPr>
          <w:lang w:val="en-GB"/>
        </w:rPr>
        <w:t>without</w:t>
      </w:r>
      <w:r w:rsidRPr="0064370E">
        <w:rPr>
          <w:lang w:val="en-GB"/>
        </w:rPr>
        <w:t xml:space="preserve"> </w:t>
      </w:r>
      <w:r w:rsidR="00A81D06">
        <w:rPr>
          <w:lang w:val="en-GB"/>
        </w:rPr>
        <w:t xml:space="preserve">any </w:t>
      </w:r>
      <w:r w:rsidRPr="0064370E">
        <w:rPr>
          <w:lang w:val="en-GB"/>
        </w:rPr>
        <w:t xml:space="preserve">UE beam </w:t>
      </w:r>
      <w:r w:rsidR="00D95CFF">
        <w:rPr>
          <w:lang w:val="en-GB"/>
        </w:rPr>
        <w:t>indications (e.g. TCI)</w:t>
      </w:r>
      <w:r w:rsidRPr="0064370E">
        <w:rPr>
          <w:lang w:val="en-GB"/>
        </w:rPr>
        <w:t>.</w:t>
      </w:r>
      <w:r>
        <w:rPr>
          <w:lang w:val="en-GB"/>
        </w:rPr>
        <w:t xml:space="preserve"> </w:t>
      </w:r>
      <w:r>
        <w:rPr>
          <w:rFonts w:hint="eastAsia"/>
          <w:lang w:val="en-GB"/>
        </w:rPr>
        <w:t>In our</w:t>
      </w:r>
      <w:r>
        <w:rPr>
          <w:lang w:val="en-GB"/>
        </w:rPr>
        <w:t xml:space="preserve"> view, UE </w:t>
      </w:r>
      <w:r w:rsidR="009E09F3">
        <w:rPr>
          <w:lang w:val="en-GB"/>
        </w:rPr>
        <w:t>can obtain several</w:t>
      </w:r>
      <w:r>
        <w:rPr>
          <w:lang w:val="en-GB"/>
        </w:rPr>
        <w:t xml:space="preserve"> strongest TX beam</w:t>
      </w:r>
      <w:r w:rsidR="00F73518">
        <w:rPr>
          <w:lang w:val="en-GB"/>
        </w:rPr>
        <w:t xml:space="preserve">s </w:t>
      </w:r>
      <w:r>
        <w:rPr>
          <w:lang w:val="en-GB"/>
        </w:rPr>
        <w:t>during all SCell activation process. Th</w:t>
      </w:r>
      <w:r w:rsidR="00F73518">
        <w:rPr>
          <w:lang w:val="en-GB"/>
        </w:rPr>
        <w:t>is</w:t>
      </w:r>
      <w:r>
        <w:rPr>
          <w:lang w:val="en-GB"/>
        </w:rPr>
        <w:t xml:space="preserve"> beam information </w:t>
      </w:r>
      <w:r w:rsidR="00DA237A">
        <w:rPr>
          <w:lang w:val="en-GB"/>
        </w:rPr>
        <w:t xml:space="preserve">without further beam refinement (e.g. TX-RX beam </w:t>
      </w:r>
      <w:r w:rsidR="00D95CFF">
        <w:rPr>
          <w:lang w:val="en-GB"/>
        </w:rPr>
        <w:t>association with TCI</w:t>
      </w:r>
      <w:r w:rsidR="00DA237A">
        <w:rPr>
          <w:lang w:val="en-GB"/>
        </w:rPr>
        <w:t>) may</w:t>
      </w:r>
      <w:r>
        <w:rPr>
          <w:lang w:val="en-GB"/>
        </w:rPr>
        <w:t xml:space="preserve"> be sufficient to </w:t>
      </w:r>
      <w:r w:rsidR="00A81D06">
        <w:rPr>
          <w:lang w:val="en-GB"/>
        </w:rPr>
        <w:t>guarantee</w:t>
      </w:r>
      <w:r>
        <w:rPr>
          <w:lang w:val="en-GB"/>
        </w:rPr>
        <w:t xml:space="preserve"> the reliable cell search or RRM </w:t>
      </w:r>
      <w:r w:rsidR="00A81D06">
        <w:rPr>
          <w:lang w:val="en-GB"/>
        </w:rPr>
        <w:t>measurements</w:t>
      </w:r>
      <w:r>
        <w:rPr>
          <w:lang w:val="en-GB"/>
        </w:rPr>
        <w:t xml:space="preserve">. But </w:t>
      </w:r>
      <w:r w:rsidRPr="0064370E">
        <w:rPr>
          <w:lang w:val="en-GB"/>
        </w:rPr>
        <w:t xml:space="preserve">after SCell activation, UE </w:t>
      </w:r>
      <w:r w:rsidR="00DA237A">
        <w:rPr>
          <w:lang w:val="en-GB"/>
        </w:rPr>
        <w:t>also needs</w:t>
      </w:r>
      <w:r w:rsidRPr="0064370E">
        <w:rPr>
          <w:lang w:val="en-GB"/>
        </w:rPr>
        <w:t xml:space="preserve"> to monitor PDCCH and be prepared for PDSCH </w:t>
      </w:r>
      <w:r w:rsidR="00A81D06">
        <w:rPr>
          <w:lang w:val="en-GB"/>
        </w:rPr>
        <w:t>reception or PUSCH transmission</w:t>
      </w:r>
      <w:r w:rsidR="00330CE2">
        <w:rPr>
          <w:lang w:val="en-GB"/>
        </w:rPr>
        <w:t>, which</w:t>
      </w:r>
      <w:r w:rsidRPr="009E584C">
        <w:rPr>
          <w:lang w:val="en-GB"/>
        </w:rPr>
        <w:t xml:space="preserve"> need a narrow UE beam</w:t>
      </w:r>
      <w:r w:rsidR="00B2031A">
        <w:rPr>
          <w:lang w:val="en-GB"/>
        </w:rPr>
        <w:t>. T</w:t>
      </w:r>
      <w:r w:rsidR="00DA237A" w:rsidRPr="009E584C">
        <w:rPr>
          <w:lang w:val="en-GB"/>
        </w:rPr>
        <w:t xml:space="preserve">he narrow beam is </w:t>
      </w:r>
      <w:r w:rsidRPr="009E584C">
        <w:rPr>
          <w:lang w:val="en-GB"/>
        </w:rPr>
        <w:t>important for UL to guarantee maximal allowed tr</w:t>
      </w:r>
      <w:r w:rsidR="00DA237A" w:rsidRPr="009E584C">
        <w:rPr>
          <w:lang w:val="en-GB"/>
        </w:rPr>
        <w:t>ansmission power</w:t>
      </w:r>
      <w:r w:rsidR="001E3FC1" w:rsidRPr="009E584C">
        <w:rPr>
          <w:lang w:val="en-GB"/>
        </w:rPr>
        <w:t xml:space="preserve">. </w:t>
      </w:r>
      <w:r w:rsidR="00DA237A" w:rsidRPr="009E584C">
        <w:rPr>
          <w:lang w:val="en-GB"/>
        </w:rPr>
        <w:t>Practically a wide beam is realized by reducing the number of activated antenna elements within the antenna array, e.g. 4-element reducing to 2-element means 3dB RSRP drop in DL but 6dB maximal EIRP drop in UL ( 3dB TX beamforming gain loss + 3dB maximal TRP loss). That is why a narrow beam is always desired</w:t>
      </w:r>
      <w:r w:rsidR="009E584C" w:rsidRPr="009E584C">
        <w:rPr>
          <w:lang w:val="en-GB"/>
        </w:rPr>
        <w:t xml:space="preserve"> in FR2</w:t>
      </w:r>
      <w:r w:rsidR="00DA237A" w:rsidRPr="009E584C">
        <w:rPr>
          <w:lang w:val="en-GB"/>
        </w:rPr>
        <w:t>.</w:t>
      </w:r>
      <w:r w:rsidR="009E584C" w:rsidRPr="009E584C">
        <w:rPr>
          <w:lang w:val="en-GB"/>
        </w:rPr>
        <w:t xml:space="preserve"> </w:t>
      </w:r>
      <w:r w:rsidR="00DA237A" w:rsidRPr="009E584C">
        <w:rPr>
          <w:lang w:val="en-GB"/>
        </w:rPr>
        <w:t xml:space="preserve">In other words, </w:t>
      </w:r>
      <w:r w:rsidRPr="009E584C">
        <w:rPr>
          <w:lang w:val="en-GB"/>
        </w:rPr>
        <w:t xml:space="preserve">it might be </w:t>
      </w:r>
      <w:r w:rsidR="00847946" w:rsidRPr="009E584C">
        <w:rPr>
          <w:lang w:val="en-GB"/>
        </w:rPr>
        <w:t>problematic</w:t>
      </w:r>
      <w:r w:rsidR="001E3FC1" w:rsidRPr="009E584C">
        <w:rPr>
          <w:lang w:val="en-GB"/>
        </w:rPr>
        <w:t xml:space="preserve"> with a wide beam</w:t>
      </w:r>
      <w:r w:rsidR="00DA237A" w:rsidRPr="009E584C">
        <w:rPr>
          <w:lang w:val="en-GB"/>
        </w:rPr>
        <w:t xml:space="preserve"> only after SCell activation completed</w:t>
      </w:r>
      <w:r w:rsidR="009E584C" w:rsidRPr="009E584C">
        <w:rPr>
          <w:lang w:val="en-GB"/>
        </w:rPr>
        <w:t xml:space="preserve"> in FR2</w:t>
      </w:r>
      <w:r w:rsidR="001E3FC1" w:rsidRPr="009E584C">
        <w:rPr>
          <w:lang w:val="en-GB"/>
        </w:rPr>
        <w:t xml:space="preserve">. </w:t>
      </w:r>
    </w:p>
    <w:p w14:paraId="72D2A8E8" w14:textId="7F42A835" w:rsidR="0064370E" w:rsidRDefault="0064370E" w:rsidP="0064370E">
      <w:pPr>
        <w:rPr>
          <w:b/>
          <w:lang w:val="en-GB"/>
        </w:rPr>
      </w:pPr>
      <w:r w:rsidRPr="00A81D06">
        <w:rPr>
          <w:b/>
          <w:u w:val="single"/>
          <w:lang w:val="en-GB"/>
        </w:rPr>
        <w:t xml:space="preserve">Observation </w:t>
      </w:r>
      <w:r w:rsidR="00A81D06" w:rsidRPr="00A81D06">
        <w:rPr>
          <w:b/>
          <w:u w:val="single"/>
          <w:lang w:val="en-GB"/>
        </w:rPr>
        <w:t>2</w:t>
      </w:r>
      <w:r w:rsidRPr="00A81D06">
        <w:rPr>
          <w:b/>
          <w:u w:val="single"/>
          <w:lang w:val="en-GB"/>
        </w:rPr>
        <w:t>:</w:t>
      </w:r>
      <w:r w:rsidRPr="00EC68E4">
        <w:rPr>
          <w:b/>
          <w:lang w:val="en-GB"/>
        </w:rPr>
        <w:t xml:space="preserve"> </w:t>
      </w:r>
      <w:r w:rsidR="00912AA6">
        <w:rPr>
          <w:b/>
          <w:lang w:val="en-GB"/>
        </w:rPr>
        <w:t>After</w:t>
      </w:r>
      <w:r w:rsidRPr="00EC68E4">
        <w:rPr>
          <w:b/>
          <w:lang w:val="en-GB"/>
        </w:rPr>
        <w:t xml:space="preserve"> SCell activation completed, for more </w:t>
      </w:r>
      <w:r w:rsidR="00A047CF">
        <w:rPr>
          <w:b/>
          <w:lang w:val="en-GB"/>
        </w:rPr>
        <w:t>exact</w:t>
      </w:r>
      <w:r w:rsidRPr="00EC68E4">
        <w:rPr>
          <w:b/>
          <w:lang w:val="en-GB"/>
        </w:rPr>
        <w:t xml:space="preserve"> CSI reporting</w:t>
      </w:r>
      <w:r w:rsidR="00847946">
        <w:rPr>
          <w:b/>
          <w:lang w:val="en-GB"/>
        </w:rPr>
        <w:t xml:space="preserve"> and </w:t>
      </w:r>
      <w:r w:rsidR="009E584C">
        <w:rPr>
          <w:b/>
          <w:lang w:val="en-GB"/>
        </w:rPr>
        <w:t xml:space="preserve">other </w:t>
      </w:r>
      <w:r w:rsidR="00A047CF">
        <w:rPr>
          <w:b/>
          <w:lang w:val="en-GB"/>
        </w:rPr>
        <w:t xml:space="preserve">reliable UE reception and </w:t>
      </w:r>
      <w:r w:rsidR="009E584C">
        <w:rPr>
          <w:b/>
          <w:lang w:val="en-GB"/>
        </w:rPr>
        <w:t xml:space="preserve">transmissions (e.g. </w:t>
      </w:r>
      <w:r w:rsidR="00A047CF">
        <w:rPr>
          <w:b/>
          <w:lang w:val="en-GB"/>
        </w:rPr>
        <w:t>PDCCH/</w:t>
      </w:r>
      <w:r w:rsidR="009E584C">
        <w:rPr>
          <w:b/>
          <w:lang w:val="en-GB"/>
        </w:rPr>
        <w:t>PUCCH)</w:t>
      </w:r>
      <w:r w:rsidRPr="00EC68E4">
        <w:rPr>
          <w:b/>
          <w:lang w:val="en-GB"/>
        </w:rPr>
        <w:t>, the fine beam monitoring and adjust</w:t>
      </w:r>
      <w:r w:rsidR="002A6579">
        <w:rPr>
          <w:b/>
          <w:lang w:val="en-GB"/>
        </w:rPr>
        <w:t xml:space="preserve">ment is </w:t>
      </w:r>
      <w:r w:rsidR="00647454">
        <w:rPr>
          <w:b/>
          <w:lang w:val="en-GB"/>
        </w:rPr>
        <w:t>desired</w:t>
      </w:r>
      <w:r w:rsidRPr="00EC68E4">
        <w:rPr>
          <w:b/>
          <w:lang w:val="en-GB"/>
        </w:rPr>
        <w:t xml:space="preserve">. </w:t>
      </w:r>
    </w:p>
    <w:p w14:paraId="35E07C91" w14:textId="77777777" w:rsidR="00951A5E" w:rsidRDefault="00951A5E" w:rsidP="0064370E">
      <w:pPr>
        <w:rPr>
          <w:b/>
          <w:lang w:val="en-GB"/>
        </w:rPr>
      </w:pPr>
    </w:p>
    <w:p w14:paraId="283B985A" w14:textId="2711F4A9" w:rsidR="003F04CB" w:rsidRDefault="002A6579" w:rsidP="00912AA6">
      <w:pPr>
        <w:pStyle w:val="CommentText"/>
        <w:rPr>
          <w:lang w:val="en-GB"/>
        </w:rPr>
      </w:pPr>
      <w:r>
        <w:rPr>
          <w:lang w:val="en-GB"/>
        </w:rPr>
        <w:t xml:space="preserve">Therefore, </w:t>
      </w:r>
      <w:r w:rsidR="00070558">
        <w:rPr>
          <w:lang w:val="en-GB"/>
        </w:rPr>
        <w:t xml:space="preserve">NW </w:t>
      </w:r>
      <w:r w:rsidR="009E584C">
        <w:rPr>
          <w:lang w:val="en-GB"/>
        </w:rPr>
        <w:t>was expected to</w:t>
      </w:r>
      <w:r w:rsidR="00C813BB">
        <w:rPr>
          <w:lang w:val="en-GB"/>
        </w:rPr>
        <w:t xml:space="preserve"> </w:t>
      </w:r>
      <w:r w:rsidR="00070558">
        <w:rPr>
          <w:lang w:val="en-GB"/>
        </w:rPr>
        <w:t xml:space="preserve">configure some necessary </w:t>
      </w:r>
      <w:r w:rsidR="00C813BB">
        <w:rPr>
          <w:lang w:val="en-GB"/>
        </w:rPr>
        <w:t xml:space="preserve">beam </w:t>
      </w:r>
      <w:r w:rsidR="00070558">
        <w:rPr>
          <w:lang w:val="en-GB"/>
        </w:rPr>
        <w:t xml:space="preserve">measurements </w:t>
      </w:r>
      <w:r>
        <w:rPr>
          <w:lang w:val="en-GB"/>
        </w:rPr>
        <w:t>and</w:t>
      </w:r>
      <w:r w:rsidR="00070558">
        <w:rPr>
          <w:lang w:val="en-GB"/>
        </w:rPr>
        <w:t xml:space="preserve"> tri</w:t>
      </w:r>
      <w:r w:rsidR="009E584C">
        <w:rPr>
          <w:lang w:val="en-GB"/>
        </w:rPr>
        <w:t>gger the narrow beam refinement</w:t>
      </w:r>
      <w:r w:rsidR="00070558">
        <w:rPr>
          <w:lang w:val="en-GB"/>
        </w:rPr>
        <w:t xml:space="preserve"> </w:t>
      </w:r>
      <w:r w:rsidR="00C813BB">
        <w:rPr>
          <w:lang w:val="en-GB"/>
        </w:rPr>
        <w:t xml:space="preserve">as illustrated in Figure 2. </w:t>
      </w:r>
      <w:r w:rsidR="00A047CF">
        <w:rPr>
          <w:lang w:val="en-GB"/>
        </w:rPr>
        <w:t>It shall be noted that</w:t>
      </w:r>
      <w:r w:rsidR="00070558">
        <w:rPr>
          <w:lang w:val="en-GB"/>
        </w:rPr>
        <w:t xml:space="preserve"> </w:t>
      </w:r>
      <w:r w:rsidR="009E584C">
        <w:rPr>
          <w:lang w:val="en-GB"/>
        </w:rPr>
        <w:t xml:space="preserve">currently </w:t>
      </w:r>
      <w:r w:rsidR="00070558">
        <w:rPr>
          <w:lang w:val="en-GB"/>
        </w:rPr>
        <w:t>such optimiza</w:t>
      </w:r>
      <w:r w:rsidR="003F04CB">
        <w:rPr>
          <w:lang w:val="en-GB"/>
        </w:rPr>
        <w:t>tion is up to NW configuration</w:t>
      </w:r>
      <w:r w:rsidR="00966BF4">
        <w:rPr>
          <w:lang w:val="en-GB"/>
        </w:rPr>
        <w:t xml:space="preserve"> </w:t>
      </w:r>
      <w:r w:rsidR="009E584C">
        <w:rPr>
          <w:lang w:val="en-GB"/>
        </w:rPr>
        <w:t>[</w:t>
      </w:r>
      <w:r w:rsidR="00CA396F">
        <w:rPr>
          <w:lang w:val="en-GB"/>
        </w:rPr>
        <w:t>2</w:t>
      </w:r>
      <w:r w:rsidR="009E584C">
        <w:rPr>
          <w:lang w:val="en-GB"/>
        </w:rPr>
        <w:t>]</w:t>
      </w:r>
      <w:r w:rsidR="00C813BB">
        <w:rPr>
          <w:lang w:val="en-GB"/>
        </w:rPr>
        <w:t>, which</w:t>
      </w:r>
      <w:r>
        <w:rPr>
          <w:lang w:val="en-GB"/>
        </w:rPr>
        <w:t xml:space="preserve"> can happen </w:t>
      </w:r>
      <w:r w:rsidR="00A047CF">
        <w:rPr>
          <w:rFonts w:eastAsiaTheme="minorEastAsia"/>
          <w:lang w:val="en-GB"/>
        </w:rPr>
        <w:t>freely</w:t>
      </w:r>
      <w:r w:rsidR="00C813BB">
        <w:rPr>
          <w:rFonts w:eastAsiaTheme="minorEastAsia"/>
          <w:lang w:val="en-GB"/>
        </w:rPr>
        <w:t xml:space="preserve"> after UE established RRC connection with gNB (denoted as “T</w:t>
      </w:r>
      <w:r w:rsidR="00AF3E88">
        <w:rPr>
          <w:rFonts w:eastAsiaTheme="minorEastAsia"/>
          <w:lang w:val="en-GB"/>
        </w:rPr>
        <w:t>(</w:t>
      </w:r>
      <w:r w:rsidR="00C813BB">
        <w:rPr>
          <w:rFonts w:eastAsiaTheme="minorEastAsia"/>
          <w:lang w:val="en-GB"/>
        </w:rPr>
        <w:t>0</w:t>
      </w:r>
      <w:r w:rsidR="00AF3E88">
        <w:rPr>
          <w:rFonts w:eastAsiaTheme="minorEastAsia"/>
          <w:lang w:val="en-GB"/>
        </w:rPr>
        <w:t>)</w:t>
      </w:r>
      <w:r w:rsidR="00C813BB">
        <w:rPr>
          <w:rFonts w:eastAsiaTheme="minorEastAsia"/>
          <w:lang w:val="en-GB"/>
        </w:rPr>
        <w:t>” below)</w:t>
      </w:r>
      <w:r>
        <w:rPr>
          <w:lang w:val="en-GB"/>
        </w:rPr>
        <w:t xml:space="preserve">. </w:t>
      </w:r>
      <w:r w:rsidR="003F04CB">
        <w:rPr>
          <w:lang w:val="en-GB"/>
        </w:rPr>
        <w:t xml:space="preserve"> </w:t>
      </w:r>
    </w:p>
    <w:p w14:paraId="16841FA7" w14:textId="6181F842" w:rsidR="00F36919" w:rsidRDefault="00C85FF5" w:rsidP="00F36919">
      <w:pPr>
        <w:pStyle w:val="CommentText"/>
        <w:jc w:val="center"/>
      </w:pPr>
      <w:r>
        <w:object w:dxaOrig="9985" w:dyaOrig="10789" w14:anchorId="159C12E0">
          <v:shape id="_x0000_i1026" type="#_x0000_t75" style="width:465.15pt;height:503.35pt" o:ole="">
            <v:imagedata r:id="rId10" o:title=""/>
          </v:shape>
          <o:OLEObject Type="Embed" ProgID="Visio.Drawing.15" ShapeID="_x0000_i1026" DrawAspect="Content" ObjectID="_1615659050" r:id="rId11"/>
        </w:object>
      </w:r>
    </w:p>
    <w:p w14:paraId="1272FBF6" w14:textId="521DF4FC" w:rsidR="00F36919" w:rsidRPr="00945F89" w:rsidRDefault="00F36919" w:rsidP="00C85FF5">
      <w:pPr>
        <w:pStyle w:val="ListParagraph"/>
        <w:jc w:val="center"/>
      </w:pPr>
      <w:r w:rsidRPr="00F04394">
        <w:t xml:space="preserve">Figure </w:t>
      </w:r>
      <w:r>
        <w:rPr>
          <w:noProof/>
        </w:rPr>
        <w:t>2</w:t>
      </w:r>
      <w:r w:rsidRPr="00F04394">
        <w:t>. SCell activation procedure</w:t>
      </w:r>
      <w:r>
        <w:t xml:space="preserve"> with narrow beam refinement</w:t>
      </w:r>
    </w:p>
    <w:p w14:paraId="586DC6FA" w14:textId="4FB59A71" w:rsidR="003F04CB" w:rsidRDefault="003F04CB" w:rsidP="003F04CB">
      <w:pPr>
        <w:pStyle w:val="CommentText"/>
        <w:rPr>
          <w:b/>
          <w:lang w:val="en-GB"/>
        </w:rPr>
      </w:pPr>
      <w:r w:rsidRPr="00A81D06">
        <w:rPr>
          <w:b/>
          <w:u w:val="single"/>
          <w:lang w:val="en-GB"/>
        </w:rPr>
        <w:t xml:space="preserve">Observation </w:t>
      </w:r>
      <w:r>
        <w:rPr>
          <w:b/>
          <w:u w:val="single"/>
          <w:lang w:val="en-GB"/>
        </w:rPr>
        <w:t>3</w:t>
      </w:r>
      <w:r w:rsidRPr="00A81D06">
        <w:rPr>
          <w:b/>
          <w:u w:val="single"/>
          <w:lang w:val="en-GB"/>
        </w:rPr>
        <w:t>:</w:t>
      </w:r>
      <w:r w:rsidRPr="00EC68E4">
        <w:rPr>
          <w:b/>
          <w:lang w:val="en-GB"/>
        </w:rPr>
        <w:t xml:space="preserve"> </w:t>
      </w:r>
      <w:r>
        <w:rPr>
          <w:b/>
          <w:lang w:val="en-GB"/>
        </w:rPr>
        <w:t xml:space="preserve">TCI activation to </w:t>
      </w:r>
      <w:r w:rsidR="00966BF4">
        <w:rPr>
          <w:b/>
          <w:lang w:val="en-GB"/>
        </w:rPr>
        <w:t>indicate</w:t>
      </w:r>
      <w:r>
        <w:rPr>
          <w:b/>
          <w:lang w:val="en-GB"/>
        </w:rPr>
        <w:t xml:space="preserve"> the narrow beam </w:t>
      </w:r>
      <w:r w:rsidR="00966BF4">
        <w:rPr>
          <w:b/>
          <w:lang w:val="en-GB"/>
        </w:rPr>
        <w:t xml:space="preserve">to UE </w:t>
      </w:r>
      <w:r>
        <w:rPr>
          <w:b/>
          <w:lang w:val="en-GB"/>
        </w:rPr>
        <w:t>can be independent with SCell activation procedure.</w:t>
      </w:r>
    </w:p>
    <w:p w14:paraId="0E8C84BD" w14:textId="35AAFFCA" w:rsidR="00700063" w:rsidRPr="000C24BC" w:rsidRDefault="00700063" w:rsidP="00700063">
      <w:pPr>
        <w:pStyle w:val="CommentText"/>
        <w:rPr>
          <w:rFonts w:eastAsiaTheme="minorEastAsia"/>
          <w:lang w:val="en-GB"/>
        </w:rPr>
      </w:pPr>
      <w:r>
        <w:rPr>
          <w:rFonts w:eastAsiaTheme="minorEastAsia"/>
          <w:lang w:val="en-GB"/>
        </w:rPr>
        <w:t>That i</w:t>
      </w:r>
      <w:r w:rsidR="00966BF4">
        <w:rPr>
          <w:rFonts w:eastAsiaTheme="minorEastAsia"/>
          <w:lang w:val="en-GB"/>
        </w:rPr>
        <w:t>mplies</w:t>
      </w:r>
      <w:r>
        <w:rPr>
          <w:rFonts w:eastAsiaTheme="minorEastAsia"/>
          <w:lang w:val="en-GB"/>
        </w:rPr>
        <w:t xml:space="preserve"> </w:t>
      </w:r>
      <w:r w:rsidR="00724E8B" w:rsidRPr="008A3596">
        <w:t>activation of TCI states for PDCCH/PDSCH is not part of SCell activation</w:t>
      </w:r>
      <w:r>
        <w:rPr>
          <w:rFonts w:eastAsiaTheme="minorEastAsia"/>
          <w:lang w:val="en-GB"/>
        </w:rPr>
        <w:t xml:space="preserve">. </w:t>
      </w:r>
      <w:r w:rsidR="00A67FBD">
        <w:rPr>
          <w:rFonts w:eastAsiaTheme="minorEastAsia"/>
          <w:lang w:val="en-GB"/>
        </w:rPr>
        <w:t xml:space="preserve">With the previous discussion </w:t>
      </w:r>
      <w:r w:rsidR="00EA2341">
        <w:rPr>
          <w:rFonts w:eastAsiaTheme="minorEastAsia"/>
          <w:lang w:val="en-GB"/>
        </w:rPr>
        <w:t>[4</w:t>
      </w:r>
      <w:r w:rsidR="00EA2341">
        <w:rPr>
          <w:rFonts w:eastAsiaTheme="minorEastAsia"/>
        </w:rPr>
        <w:t xml:space="preserve">] </w:t>
      </w:r>
      <w:r w:rsidR="00A67FBD">
        <w:rPr>
          <w:rFonts w:eastAsiaTheme="minorEastAsia"/>
          <w:lang w:val="en-GB"/>
        </w:rPr>
        <w:t>and agreements</w:t>
      </w:r>
      <w:r w:rsidR="00B67BC8">
        <w:rPr>
          <w:rFonts w:eastAsiaTheme="minorEastAsia"/>
          <w:lang w:val="en-GB"/>
        </w:rPr>
        <w:t xml:space="preserve"> </w:t>
      </w:r>
      <w:r w:rsidR="00EA2341">
        <w:rPr>
          <w:rFonts w:eastAsiaTheme="minorEastAsia"/>
          <w:lang w:val="en-GB"/>
        </w:rPr>
        <w:t>[5]</w:t>
      </w:r>
      <w:r w:rsidR="00A67FBD">
        <w:rPr>
          <w:rFonts w:eastAsiaTheme="minorEastAsia"/>
        </w:rPr>
        <w:t xml:space="preserve">, </w:t>
      </w:r>
      <w:r w:rsidR="00A67FBD">
        <w:rPr>
          <w:rFonts w:eastAsiaTheme="minorEastAsia"/>
          <w:lang w:val="en-GB"/>
        </w:rPr>
        <w:t xml:space="preserve">FR1&amp;FR2 SCell activation delay basically includes the time for MAC CE </w:t>
      </w:r>
      <w:r w:rsidR="00B67BC8">
        <w:rPr>
          <w:rFonts w:eastAsiaTheme="minorEastAsia"/>
          <w:lang w:val="en-GB"/>
        </w:rPr>
        <w:t xml:space="preserve">decoding, unknown cell search, </w:t>
      </w:r>
      <w:r w:rsidR="00A67FBD">
        <w:rPr>
          <w:rFonts w:eastAsiaTheme="minorEastAsia"/>
          <w:lang w:val="en-GB"/>
        </w:rPr>
        <w:t xml:space="preserve">RF and AGC. </w:t>
      </w:r>
      <w:r w:rsidR="00966BF4">
        <w:rPr>
          <w:rFonts w:eastAsiaTheme="minorEastAsia"/>
          <w:lang w:val="en-GB"/>
        </w:rPr>
        <w:t>Thus</w:t>
      </w:r>
      <w:r>
        <w:rPr>
          <w:rFonts w:eastAsiaTheme="minorEastAsia"/>
          <w:lang w:val="en-GB"/>
        </w:rPr>
        <w:t xml:space="preserve"> </w:t>
      </w:r>
      <w:r w:rsidRPr="000C24BC">
        <w:rPr>
          <w:rFonts w:eastAsiaTheme="minorEastAsia"/>
          <w:lang w:val="en-GB"/>
        </w:rPr>
        <w:t xml:space="preserve">we can </w:t>
      </w:r>
      <w:r w:rsidR="00966BF4">
        <w:rPr>
          <w:rFonts w:eastAsiaTheme="minorEastAsia"/>
          <w:lang w:val="en-GB"/>
        </w:rPr>
        <w:t xml:space="preserve">safely </w:t>
      </w:r>
      <w:r w:rsidRPr="000C24BC">
        <w:rPr>
          <w:rFonts w:eastAsiaTheme="minorEastAsia"/>
          <w:lang w:val="en-GB"/>
        </w:rPr>
        <w:t>propose that</w:t>
      </w:r>
      <w:r w:rsidR="00966BF4">
        <w:rPr>
          <w:rFonts w:eastAsiaTheme="minorEastAsia"/>
          <w:lang w:val="en-GB"/>
        </w:rPr>
        <w:t>:</w:t>
      </w:r>
    </w:p>
    <w:p w14:paraId="3FCCFE7B" w14:textId="77777777" w:rsidR="00700063" w:rsidRPr="00C671AB" w:rsidRDefault="00700063" w:rsidP="00700063">
      <w:pPr>
        <w:overflowPunct w:val="0"/>
        <w:autoSpaceDE w:val="0"/>
        <w:autoSpaceDN w:val="0"/>
        <w:adjustRightInd w:val="0"/>
        <w:spacing w:after="180"/>
      </w:pPr>
      <w:r w:rsidRPr="00C671AB">
        <w:rPr>
          <w:b/>
          <w:i/>
          <w:u w:val="single"/>
          <w:lang w:val="en-GB"/>
        </w:rPr>
        <w:t>Proposal 1:</w:t>
      </w:r>
      <w:r w:rsidRPr="00C671AB">
        <w:rPr>
          <w:b/>
          <w:i/>
          <w:lang w:val="en-GB"/>
        </w:rPr>
        <w:t xml:space="preserve"> SCell activation in FR2 can be defined without TCI activation as: </w:t>
      </w:r>
    </w:p>
    <w:tbl>
      <w:tblPr>
        <w:tblStyle w:val="TableGrid"/>
        <w:tblW w:w="0" w:type="auto"/>
        <w:tblLook w:val="04A0" w:firstRow="1" w:lastRow="0" w:firstColumn="1" w:lastColumn="0" w:noHBand="0" w:noVBand="1"/>
      </w:tblPr>
      <w:tblGrid>
        <w:gridCol w:w="9855"/>
      </w:tblGrid>
      <w:tr w:rsidR="004D1D08" w14:paraId="07446CCC" w14:textId="77777777" w:rsidTr="004D1D08">
        <w:tc>
          <w:tcPr>
            <w:tcW w:w="9855" w:type="dxa"/>
          </w:tcPr>
          <w:p w14:paraId="670E78BE" w14:textId="77777777" w:rsidR="004D1D08" w:rsidRDefault="004D1D08" w:rsidP="004D1D08">
            <w:pPr>
              <w:pStyle w:val="ListParagraph"/>
              <w:numPr>
                <w:ilvl w:val="0"/>
                <w:numId w:val="36"/>
              </w:numPr>
              <w:overflowPunct w:val="0"/>
              <w:autoSpaceDE w:val="0"/>
              <w:autoSpaceDN w:val="0"/>
              <w:adjustRightInd w:val="0"/>
              <w:spacing w:after="180"/>
              <w:contextualSpacing w:val="0"/>
              <w:rPr>
                <w:rFonts w:ascii="Times New Roman" w:hAnsi="Times New Roman"/>
                <w:b/>
                <w:i/>
                <w:lang w:val="en-GB" w:eastAsia="zh-CN"/>
              </w:rPr>
            </w:pPr>
            <w:r>
              <w:rPr>
                <w:rFonts w:ascii="Times New Roman" w:hAnsi="Times New Roman"/>
                <w:b/>
                <w:i/>
                <w:lang w:val="en-GB" w:eastAsia="zh-CN"/>
              </w:rPr>
              <w:t xml:space="preserve">If SCell in FR2 is known </w:t>
            </w:r>
          </w:p>
          <w:p w14:paraId="313AF86D" w14:textId="77777777" w:rsidR="004D1D08" w:rsidRDefault="004D1D08" w:rsidP="004D1D08">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w:t>
            </w:r>
            <w:r>
              <w:rPr>
                <w:rFonts w:ascii="Times New Roman" w:hAnsi="Times New Roman"/>
                <w:b/>
                <w:i/>
                <w:lang w:val="en-GB" w:eastAsia="zh-CN"/>
              </w:rPr>
              <w:t xml:space="preserve"> </w:t>
            </w:r>
            <w:r w:rsidRPr="00724E8B">
              <w:rPr>
                <w:rFonts w:ascii="Times New Roman" w:hAnsi="Times New Roman"/>
                <w:b/>
                <w:i/>
                <w:lang w:val="en-GB" w:eastAsia="zh-CN"/>
              </w:rPr>
              <w:t>+</w:t>
            </w:r>
            <w:r>
              <w:rPr>
                <w:rFonts w:ascii="Times New Roman" w:hAnsi="Times New Roman"/>
                <w:b/>
                <w:i/>
                <w:lang w:val="en-GB" w:eastAsia="zh-CN"/>
              </w:rPr>
              <w:t xml:space="preserve"> </w:t>
            </w:r>
            <w:r w:rsidRPr="00724E8B">
              <w:rPr>
                <w:rFonts w:ascii="Times New Roman" w:hAnsi="Times New Roman"/>
                <w:b/>
                <w:i/>
                <w:lang w:val="en-GB" w:eastAsia="zh-CN"/>
              </w:rPr>
              <w:t>N*</w:t>
            </w:r>
            <w:r w:rsidRPr="000142B7">
              <w:rPr>
                <w:rFonts w:ascii="Times New Roman" w:hAnsi="Times New Roman"/>
                <w:b/>
                <w:i/>
                <w:color w:val="000000" w:themeColor="text1"/>
                <w:lang w:val="en-GB" w:eastAsia="zh-CN"/>
              </w:rPr>
              <w:t xml:space="preserve"> </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sidRPr="00724E8B">
              <w:rPr>
                <w:rFonts w:ascii="Times New Roman" w:hAnsi="Times New Roman"/>
                <w:b/>
                <w:i/>
                <w:color w:val="000000" w:themeColor="text1"/>
                <w:lang w:val="en-GB" w:eastAsia="zh-CN"/>
              </w:rPr>
              <w:t xml:space="preserve"> + </w:t>
            </w:r>
            <w:r w:rsidRPr="00724E8B">
              <w:rPr>
                <w:rFonts w:ascii="Times New Roman" w:hAnsi="Times New Roman"/>
                <w:b/>
                <w:i/>
                <w:lang w:val="en-GB" w:eastAsia="zh-CN"/>
              </w:rPr>
              <w:t>2ms]</w:t>
            </w:r>
            <w:r>
              <w:rPr>
                <w:rFonts w:ascii="Times New Roman" w:hAnsi="Times New Roman"/>
                <w:b/>
                <w:i/>
                <w:lang w:val="en-GB" w:eastAsia="zh-CN"/>
              </w:rPr>
              <w:t xml:space="preserve"> when </w:t>
            </w:r>
            <w:r w:rsidRPr="000142B7">
              <w:rPr>
                <w:rFonts w:ascii="Times New Roman" w:hAnsi="Times New Roman"/>
                <w:b/>
                <w:i/>
                <w:lang w:val="en-GB" w:eastAsia="zh-CN"/>
              </w:rPr>
              <w:t>the SCell measurement cycle is equ</w:t>
            </w:r>
            <w:r>
              <w:rPr>
                <w:rFonts w:ascii="Times New Roman" w:hAnsi="Times New Roman"/>
                <w:b/>
                <w:i/>
                <w:lang w:val="en-GB" w:eastAsia="zh-CN"/>
              </w:rPr>
              <w:t>al to or smaller than [160ms]</w:t>
            </w:r>
          </w:p>
          <w:p w14:paraId="3E593A8D" w14:textId="77777777" w:rsidR="004D1D08" w:rsidRDefault="004D1D08" w:rsidP="004D1D08">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w:t>
            </w:r>
            <w:r>
              <w:rPr>
                <w:rFonts w:ascii="Times New Roman" w:hAnsi="Times New Roman"/>
                <w:b/>
                <w:i/>
                <w:lang w:val="en-GB" w:eastAsia="zh-CN"/>
              </w:rPr>
              <w:t xml:space="preserve"> </w:t>
            </w:r>
            <w:r w:rsidRPr="00724E8B">
              <w:rPr>
                <w:rFonts w:ascii="Times New Roman" w:hAnsi="Times New Roman"/>
                <w:b/>
                <w:i/>
                <w:lang w:val="en-GB" w:eastAsia="zh-CN"/>
              </w:rPr>
              <w:t>+</w:t>
            </w:r>
            <w:r>
              <w:rPr>
                <w:rFonts w:ascii="Times New Roman" w:hAnsi="Times New Roman"/>
                <w:b/>
                <w:i/>
                <w:lang w:val="en-GB" w:eastAsia="zh-CN"/>
              </w:rPr>
              <w:t xml:space="preserve"> </w:t>
            </w:r>
            <w:r w:rsidRPr="00724E8B">
              <w:rPr>
                <w:rFonts w:ascii="Times New Roman" w:hAnsi="Times New Roman"/>
                <w:b/>
                <w:i/>
                <w:lang w:val="en-GB" w:eastAsia="zh-CN"/>
              </w:rPr>
              <w:t>N*</w:t>
            </w:r>
            <w:r w:rsidRPr="000142B7">
              <w:rPr>
                <w:rFonts w:ascii="Times New Roman" w:hAnsi="Times New Roman"/>
                <w:b/>
                <w:i/>
                <w:color w:val="000000" w:themeColor="text1"/>
                <w:lang w:val="en-GB" w:eastAsia="zh-CN"/>
              </w:rPr>
              <w:t xml:space="preserve"> </w:t>
            </w:r>
            <w:r>
              <w:rPr>
                <w:rFonts w:ascii="Times New Roman" w:hAnsi="Times New Roman"/>
                <w:b/>
                <w:i/>
                <w:color w:val="000000" w:themeColor="text1"/>
                <w:lang w:val="en-GB" w:eastAsia="zh-CN"/>
              </w:rPr>
              <w:t>(</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sidRPr="00724E8B">
              <w:rPr>
                <w:rFonts w:ascii="Times New Roman" w:hAnsi="Times New Roman"/>
                <w:b/>
                <w:i/>
                <w:color w:val="000000" w:themeColor="text1"/>
                <w:lang w:val="en-GB" w:eastAsia="zh-CN"/>
              </w:rPr>
              <w:t xml:space="preserve"> + </w:t>
            </w:r>
            <w:r w:rsidRPr="00724E8B">
              <w:rPr>
                <w:rFonts w:ascii="Times New Roman" w:hAnsi="Times New Roman"/>
                <w:b/>
                <w:i/>
                <w:color w:val="000000" w:themeColor="text1"/>
                <w:lang w:val="en-GB"/>
              </w:rPr>
              <w:t>T</w:t>
            </w:r>
            <w:r w:rsidRPr="00724E8B">
              <w:rPr>
                <w:rFonts w:ascii="Times New Roman" w:hAnsi="Times New Roman"/>
                <w:b/>
                <w:i/>
                <w:color w:val="000000" w:themeColor="text1"/>
                <w:vertAlign w:val="subscript"/>
                <w:lang w:val="en-GB"/>
              </w:rPr>
              <w:t>s</w:t>
            </w:r>
            <w:r w:rsidRPr="00724E8B">
              <w:rPr>
                <w:rFonts w:ascii="Times New Roman" w:hAnsi="Times New Roman"/>
                <w:b/>
                <w:i/>
                <w:color w:val="000000" w:themeColor="text1"/>
                <w:vertAlign w:val="subscript"/>
                <w:lang w:val="en-GB" w:eastAsia="zh-CN"/>
              </w:rPr>
              <w:t>mtc_max</w:t>
            </w:r>
            <w:r>
              <w:rPr>
                <w:rFonts w:ascii="Times New Roman" w:hAnsi="Times New Roman"/>
                <w:b/>
                <w:i/>
                <w:color w:val="000000" w:themeColor="text1"/>
                <w:lang w:val="en-GB" w:eastAsia="zh-CN"/>
              </w:rPr>
              <w:t>)</w:t>
            </w:r>
            <w:r w:rsidRPr="000142B7">
              <w:rPr>
                <w:rFonts w:ascii="Times New Roman" w:hAnsi="Times New Roman"/>
                <w:b/>
                <w:i/>
                <w:color w:val="000000" w:themeColor="text1"/>
                <w:lang w:val="en-GB" w:eastAsia="zh-CN"/>
              </w:rPr>
              <w:t xml:space="preserve"> </w:t>
            </w:r>
            <w:r w:rsidRPr="00724E8B">
              <w:rPr>
                <w:rFonts w:ascii="Times New Roman" w:hAnsi="Times New Roman"/>
                <w:b/>
                <w:i/>
                <w:color w:val="000000" w:themeColor="text1"/>
                <w:lang w:val="en-GB" w:eastAsia="zh-CN"/>
              </w:rPr>
              <w:t xml:space="preserve">+ </w:t>
            </w:r>
            <w:r w:rsidRPr="00724E8B">
              <w:rPr>
                <w:rFonts w:ascii="Times New Roman" w:hAnsi="Times New Roman"/>
                <w:b/>
                <w:i/>
                <w:lang w:val="en-GB" w:eastAsia="zh-CN"/>
              </w:rPr>
              <w:t>2ms]</w:t>
            </w:r>
            <w:r>
              <w:rPr>
                <w:rFonts w:ascii="Times New Roman" w:hAnsi="Times New Roman"/>
                <w:b/>
                <w:i/>
                <w:lang w:val="en-GB" w:eastAsia="zh-CN"/>
              </w:rPr>
              <w:t xml:space="preserve"> when </w:t>
            </w:r>
            <w:r w:rsidRPr="000142B7">
              <w:rPr>
                <w:rFonts w:ascii="Times New Roman" w:hAnsi="Times New Roman"/>
                <w:b/>
                <w:i/>
                <w:lang w:val="en-GB" w:eastAsia="zh-CN"/>
              </w:rPr>
              <w:t xml:space="preserve">the SCell measurement cycle is </w:t>
            </w:r>
            <w:r>
              <w:rPr>
                <w:rFonts w:ascii="Times New Roman" w:hAnsi="Times New Roman"/>
                <w:b/>
                <w:i/>
                <w:lang w:val="en-GB" w:eastAsia="zh-CN"/>
              </w:rPr>
              <w:t>larger than [160ms]</w:t>
            </w:r>
          </w:p>
          <w:p w14:paraId="0027FB9C" w14:textId="77777777" w:rsidR="004D1D08" w:rsidRDefault="004D1D08" w:rsidP="004D1D08">
            <w:pPr>
              <w:pStyle w:val="ListParagraph"/>
              <w:numPr>
                <w:ilvl w:val="0"/>
                <w:numId w:val="36"/>
              </w:numPr>
              <w:overflowPunct w:val="0"/>
              <w:autoSpaceDE w:val="0"/>
              <w:autoSpaceDN w:val="0"/>
              <w:adjustRightInd w:val="0"/>
              <w:spacing w:after="180"/>
              <w:contextualSpacing w:val="0"/>
              <w:rPr>
                <w:rFonts w:ascii="Times New Roman" w:hAnsi="Times New Roman"/>
                <w:b/>
                <w:i/>
                <w:lang w:val="en-GB" w:eastAsia="zh-CN"/>
              </w:rPr>
            </w:pPr>
            <w:r>
              <w:rPr>
                <w:rFonts w:ascii="Times New Roman" w:hAnsi="Times New Roman"/>
                <w:b/>
                <w:i/>
                <w:lang w:val="en-GB" w:eastAsia="zh-CN"/>
              </w:rPr>
              <w:t xml:space="preserve">If SCell in FR2 is unknown </w:t>
            </w:r>
          </w:p>
          <w:p w14:paraId="18EC2E9F" w14:textId="77777777" w:rsidR="004D1D08" w:rsidRPr="00724E8B" w:rsidRDefault="004D1D08" w:rsidP="004D1D08">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lastRenderedPageBreak/>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[3ms+N*</w:t>
            </w:r>
            <w:r>
              <w:rPr>
                <w:rFonts w:ascii="Times New Roman" w:hAnsi="Times New Roman"/>
                <w:b/>
                <w:i/>
                <w:lang w:val="en-GB" w:eastAsia="zh-CN"/>
              </w:rPr>
              <w:t>(2*</w:t>
            </w:r>
            <w:r w:rsidRPr="00724E8B">
              <w:rPr>
                <w:rFonts w:ascii="Times New Roman" w:hAnsi="Times New Roman"/>
                <w:b/>
                <w:i/>
                <w:color w:val="000000" w:themeColor="text1"/>
                <w:lang w:val="en-GB"/>
              </w:rPr>
              <w:t>T</w:t>
            </w:r>
            <w:r w:rsidRPr="00724E8B">
              <w:rPr>
                <w:rFonts w:ascii="Times New Roman" w:hAnsi="Times New Roman"/>
                <w:b/>
                <w:i/>
                <w:color w:val="000000" w:themeColor="text1"/>
                <w:vertAlign w:val="subscript"/>
                <w:lang w:val="en-GB"/>
              </w:rPr>
              <w:t>s</w:t>
            </w:r>
            <w:r w:rsidRPr="00724E8B">
              <w:rPr>
                <w:rFonts w:ascii="Times New Roman" w:hAnsi="Times New Roman"/>
                <w:b/>
                <w:i/>
                <w:color w:val="000000" w:themeColor="text1"/>
                <w:vertAlign w:val="subscript"/>
                <w:lang w:val="en-GB" w:eastAsia="zh-CN"/>
              </w:rPr>
              <w:t xml:space="preserve">mtc_max </w:t>
            </w:r>
            <w:r w:rsidRPr="00724E8B">
              <w:rPr>
                <w:rFonts w:ascii="Times New Roman" w:hAnsi="Times New Roman"/>
                <w:b/>
                <w:i/>
                <w:color w:val="000000" w:themeColor="text1"/>
                <w:lang w:val="en-GB" w:eastAsia="zh-CN"/>
              </w:rPr>
              <w:t xml:space="preserve">+ </w:t>
            </w:r>
            <w:r>
              <w:rPr>
                <w:rFonts w:ascii="Times New Roman" w:hAnsi="Times New Roman"/>
                <w:b/>
                <w:i/>
                <w:color w:val="000000" w:themeColor="text1"/>
                <w:lang w:val="en-GB" w:eastAsia="zh-CN"/>
              </w:rPr>
              <w:t>2*</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Pr>
                <w:rFonts w:ascii="Times New Roman" w:hAnsi="Times New Roman"/>
                <w:b/>
                <w:i/>
                <w:color w:val="000000" w:themeColor="text1"/>
                <w:sz w:val="18"/>
                <w:vertAlign w:val="subscript"/>
                <w:lang w:val="en-GB" w:eastAsia="zh-CN"/>
              </w:rPr>
              <w:t xml:space="preserve"> </w:t>
            </w:r>
            <w:r>
              <w:rPr>
                <w:rFonts w:ascii="Times New Roman" w:hAnsi="Times New Roman"/>
                <w:b/>
                <w:i/>
                <w:lang w:val="en-GB" w:eastAsia="zh-CN"/>
              </w:rPr>
              <w:t>) +</w:t>
            </w:r>
            <w:r w:rsidRPr="00724E8B">
              <w:rPr>
                <w:rFonts w:ascii="Times New Roman" w:hAnsi="Times New Roman"/>
                <w:b/>
                <w:i/>
                <w:lang w:val="en-GB" w:eastAsia="zh-CN"/>
              </w:rPr>
              <w:t xml:space="preserve">2ms] </w:t>
            </w:r>
          </w:p>
          <w:p w14:paraId="37C53DEA" w14:textId="77777777" w:rsidR="004D1D08" w:rsidRPr="00B54ABE" w:rsidRDefault="004D1D08" w:rsidP="004D1D08">
            <w:pPr>
              <w:overflowPunct w:val="0"/>
              <w:autoSpaceDE w:val="0"/>
              <w:autoSpaceDN w:val="0"/>
              <w:adjustRightInd w:val="0"/>
              <w:spacing w:after="180"/>
              <w:rPr>
                <w:rFonts w:cs="v4.2.0"/>
                <w:b/>
                <w:i/>
              </w:rPr>
            </w:pPr>
            <w:r w:rsidRPr="00B54ABE">
              <w:rPr>
                <w:rFonts w:cs="v4.2.0"/>
                <w:b/>
                <w:i/>
              </w:rPr>
              <w:t>Where,</w:t>
            </w:r>
          </w:p>
          <w:p w14:paraId="24E50C0A" w14:textId="0AC97640" w:rsidR="004D1D08" w:rsidRPr="000D4A11" w:rsidRDefault="004D1D08" w:rsidP="00EE2347">
            <w:pPr>
              <w:keepNext/>
              <w:keepLines/>
              <w:ind w:left="851" w:hanging="851"/>
              <w:rPr>
                <w:b/>
              </w:rPr>
            </w:pPr>
            <w:r>
              <w:rPr>
                <w:b/>
                <w:i/>
                <w:lang w:val="en-GB"/>
              </w:rPr>
              <w:t>“</w:t>
            </w:r>
            <w:r w:rsidRPr="000D4A11">
              <w:rPr>
                <w:rFonts w:hint="eastAsia"/>
                <w:b/>
                <w:i/>
                <w:lang w:val="en-GB"/>
              </w:rPr>
              <w:t>N</w:t>
            </w:r>
            <w:r>
              <w:rPr>
                <w:b/>
                <w:i/>
                <w:lang w:val="en-GB"/>
              </w:rPr>
              <w:t>”</w:t>
            </w:r>
            <w:r w:rsidRPr="000D4A11">
              <w:rPr>
                <w:rFonts w:hint="eastAsia"/>
                <w:b/>
                <w:i/>
                <w:lang w:val="en-GB"/>
              </w:rPr>
              <w:t xml:space="preserve"> is the scaling factor for </w:t>
            </w:r>
            <w:r w:rsidRPr="000D4A11">
              <w:rPr>
                <w:b/>
                <w:i/>
                <w:lang w:val="en-GB"/>
              </w:rPr>
              <w:t>RX beam sweeping</w:t>
            </w:r>
            <w:r>
              <w:rPr>
                <w:b/>
                <w:i/>
                <w:lang w:val="en-GB"/>
              </w:rPr>
              <w:t xml:space="preserve"> </w:t>
            </w:r>
            <w:r w:rsidR="003E2B30">
              <w:rPr>
                <w:b/>
                <w:i/>
                <w:lang w:val="en-GB"/>
              </w:rPr>
              <w:t>which can be [8]</w:t>
            </w:r>
            <w:r w:rsidR="00B67BC8">
              <w:rPr>
                <w:b/>
                <w:i/>
                <w:lang w:val="en-GB"/>
              </w:rPr>
              <w:t>.</w:t>
            </w:r>
            <w:r w:rsidR="00EE2347" w:rsidRPr="000752DD">
              <w:rPr>
                <w:rFonts w:ascii="Arial" w:hAnsi="Arial"/>
                <w:sz w:val="18"/>
              </w:rPr>
              <w:t xml:space="preserve"> </w:t>
            </w:r>
            <w:r w:rsidR="00EE2347">
              <w:rPr>
                <w:rFonts w:ascii="Arial" w:hAnsi="Arial"/>
                <w:sz w:val="18"/>
              </w:rPr>
              <w:t xml:space="preserve"> </w:t>
            </w:r>
          </w:p>
          <w:p w14:paraId="6FDCDE2E" w14:textId="7C23AD9D" w:rsidR="004D1D08" w:rsidRPr="00B67BC8" w:rsidRDefault="004D1D08" w:rsidP="00B67BC8">
            <w:pPr>
              <w:overflowPunct w:val="0"/>
              <w:autoSpaceDE w:val="0"/>
              <w:autoSpaceDN w:val="0"/>
              <w:adjustRightInd w:val="0"/>
              <w:spacing w:after="180"/>
              <w:rPr>
                <w:b/>
                <w:i/>
                <w:lang w:val="en-GB"/>
              </w:rPr>
            </w:pPr>
            <w:r w:rsidRPr="001C5145">
              <w:rPr>
                <w:b/>
                <w:i/>
                <w:lang w:val="en-GB"/>
              </w:rPr>
              <w:t xml:space="preserve">Whether SCell in FR2 is known or unknown is up the relevant cell level </w:t>
            </w:r>
            <w:r>
              <w:rPr>
                <w:b/>
                <w:i/>
                <w:lang w:val="en-GB"/>
              </w:rPr>
              <w:t xml:space="preserve">identification </w:t>
            </w:r>
            <w:r w:rsidRPr="001C5145">
              <w:rPr>
                <w:b/>
                <w:i/>
                <w:lang w:val="en-GB"/>
              </w:rPr>
              <w:t xml:space="preserve">requirement has been fulfilled </w:t>
            </w:r>
            <w:r>
              <w:rPr>
                <w:b/>
                <w:i/>
                <w:lang w:val="en-GB"/>
              </w:rPr>
              <w:t>within the past</w:t>
            </w:r>
            <w:r w:rsidRPr="001C5145">
              <w:rPr>
                <w:b/>
                <w:i/>
                <w:lang w:val="en-GB"/>
              </w:rPr>
              <w:t xml:space="preserve"> </w:t>
            </w:r>
            <w:r>
              <w:rPr>
                <w:b/>
                <w:i/>
                <w:lang w:val="en-GB"/>
              </w:rPr>
              <w:t>[TBD]</w:t>
            </w:r>
            <w:r w:rsidRPr="001C5145">
              <w:rPr>
                <w:b/>
                <w:i/>
                <w:lang w:val="en-GB"/>
              </w:rPr>
              <w:t xml:space="preserve"> seconds</w:t>
            </w:r>
            <w:r>
              <w:rPr>
                <w:b/>
                <w:i/>
                <w:lang w:val="en-GB"/>
              </w:rPr>
              <w:t>.</w:t>
            </w:r>
            <w:r w:rsidRPr="000D4A11">
              <w:rPr>
                <w:rFonts w:hint="eastAsia"/>
                <w:b/>
                <w:i/>
                <w:lang w:val="en-GB"/>
              </w:rPr>
              <w:t xml:space="preserve"> </w:t>
            </w:r>
          </w:p>
        </w:tc>
      </w:tr>
    </w:tbl>
    <w:p w14:paraId="78A6004D" w14:textId="47F3E432" w:rsidR="00E1069F" w:rsidRDefault="000C24BC" w:rsidP="000C24BC">
      <w:pPr>
        <w:pStyle w:val="CommentText"/>
        <w:rPr>
          <w:lang w:val="en-GB"/>
        </w:rPr>
      </w:pPr>
      <w:r>
        <w:rPr>
          <w:rFonts w:eastAsiaTheme="minorEastAsia"/>
          <w:lang w:val="en-GB"/>
        </w:rPr>
        <w:lastRenderedPageBreak/>
        <w:t>On the other hand,</w:t>
      </w:r>
      <w:r w:rsidR="00C813BB">
        <w:rPr>
          <w:rFonts w:eastAsiaTheme="minorEastAsia"/>
          <w:lang w:val="en-GB"/>
        </w:rPr>
        <w:t xml:space="preserve"> </w:t>
      </w:r>
      <w:r w:rsidR="003F04CB">
        <w:rPr>
          <w:rFonts w:eastAsiaTheme="minorEastAsia"/>
          <w:lang w:val="en-GB"/>
        </w:rPr>
        <w:t>in order to avoid the wide</w:t>
      </w:r>
      <w:r w:rsidR="00B076FF">
        <w:rPr>
          <w:rFonts w:eastAsiaTheme="minorEastAsia"/>
          <w:lang w:val="en-GB"/>
        </w:rPr>
        <w:t xml:space="preserve"> </w:t>
      </w:r>
      <w:r w:rsidR="003F04CB">
        <w:rPr>
          <w:rFonts w:eastAsiaTheme="minorEastAsia"/>
          <w:lang w:val="en-GB"/>
        </w:rPr>
        <w:t xml:space="preserve">beam CSI report for the activated SCell, it is better that TCI activation occurred </w:t>
      </w:r>
      <w:r w:rsidR="003F04CB">
        <w:rPr>
          <w:lang w:val="en-GB"/>
        </w:rPr>
        <w:t>no later than UE reporting the valid SCell CSI to gNB</w:t>
      </w:r>
      <w:r>
        <w:rPr>
          <w:lang w:val="en-GB"/>
        </w:rPr>
        <w:t xml:space="preserve">. For such TCI activation </w:t>
      </w:r>
      <w:r w:rsidR="00700063">
        <w:rPr>
          <w:lang w:val="en-GB"/>
        </w:rPr>
        <w:t xml:space="preserve">procedure and delay requirements, </w:t>
      </w:r>
      <w:r>
        <w:rPr>
          <w:lang w:val="en-GB"/>
        </w:rPr>
        <w:t xml:space="preserve">we have some similar </w:t>
      </w:r>
      <w:r w:rsidR="006765C1">
        <w:rPr>
          <w:lang w:val="en-GB"/>
        </w:rPr>
        <w:t xml:space="preserve">ongoing </w:t>
      </w:r>
      <w:r>
        <w:rPr>
          <w:lang w:val="en-GB"/>
        </w:rPr>
        <w:t xml:space="preserve">discussion </w:t>
      </w:r>
      <w:r w:rsidR="0029233D">
        <w:rPr>
          <w:lang w:val="en-GB"/>
        </w:rPr>
        <w:t xml:space="preserve">for “TCI state switching delay” </w:t>
      </w:r>
      <w:r>
        <w:rPr>
          <w:lang w:val="en-GB"/>
        </w:rPr>
        <w:t>in RAN4</w:t>
      </w:r>
      <w:r w:rsidR="00645B56">
        <w:rPr>
          <w:lang w:val="en-GB"/>
        </w:rPr>
        <w:t xml:space="preserve"> </w:t>
      </w:r>
      <w:r>
        <w:rPr>
          <w:lang w:val="en-GB"/>
        </w:rPr>
        <w:t>[</w:t>
      </w:r>
      <w:r w:rsidR="00CA396F">
        <w:rPr>
          <w:lang w:val="en-GB"/>
        </w:rPr>
        <w:t>3</w:t>
      </w:r>
      <w:r>
        <w:rPr>
          <w:lang w:val="en-GB"/>
        </w:rPr>
        <w:t>].</w:t>
      </w:r>
      <w:r w:rsidR="003F04CB" w:rsidRPr="00645B56">
        <w:rPr>
          <w:lang w:val="en-GB"/>
        </w:rPr>
        <w:t xml:space="preserve"> </w:t>
      </w:r>
      <w:r w:rsidRPr="00645B56">
        <w:rPr>
          <w:lang w:val="en-GB"/>
        </w:rPr>
        <w:t xml:space="preserve">For </w:t>
      </w:r>
      <w:r w:rsidR="00B076FF" w:rsidRPr="00645B56">
        <w:rPr>
          <w:lang w:val="en-GB"/>
        </w:rPr>
        <w:t>example, in</w:t>
      </w:r>
      <w:r w:rsidR="0029233D" w:rsidRPr="00645B56">
        <w:rPr>
          <w:lang w:val="en-GB"/>
        </w:rPr>
        <w:t xml:space="preserve"> the case TCI activation before SCell activation by MAC CE, at least </w:t>
      </w:r>
      <w:r w:rsidR="005A28F8" w:rsidRPr="00BD7714">
        <w:rPr>
          <w:i/>
        </w:rPr>
        <w:t>T</w:t>
      </w:r>
      <w:r w:rsidR="005A28F8" w:rsidRPr="00BD7714">
        <w:rPr>
          <w:i/>
          <w:vertAlign w:val="subscript"/>
        </w:rPr>
        <w:t xml:space="preserve">ACQ-RxBeam </w:t>
      </w:r>
      <w:r w:rsidR="005A28F8" w:rsidRPr="00BD7714">
        <w:rPr>
          <w:i/>
        </w:rPr>
        <w:t>= N*T</w:t>
      </w:r>
      <w:r w:rsidR="005A28F8" w:rsidRPr="00BD7714">
        <w:rPr>
          <w:i/>
          <w:vertAlign w:val="subscript"/>
        </w:rPr>
        <w:t>CSI-RS,Rep-ON</w:t>
      </w:r>
      <w:r w:rsidR="005A28F8">
        <w:rPr>
          <w:lang w:val="en-GB"/>
        </w:rPr>
        <w:t xml:space="preserve"> [3] </w:t>
      </w:r>
      <w:r w:rsidR="0029233D">
        <w:rPr>
          <w:lang w:val="en-GB"/>
        </w:rPr>
        <w:t>shall be needed.</w:t>
      </w:r>
    </w:p>
    <w:p w14:paraId="30BD9E41" w14:textId="148AB871" w:rsidR="00093B9D" w:rsidRDefault="00700063" w:rsidP="00093B9D">
      <w:pPr>
        <w:rPr>
          <w:lang w:val="en-GB"/>
        </w:rPr>
      </w:pPr>
      <w:r w:rsidRPr="00C671AB">
        <w:rPr>
          <w:b/>
          <w:i/>
          <w:u w:val="single"/>
          <w:lang w:val="en-GB"/>
        </w:rPr>
        <w:t xml:space="preserve">Proposal </w:t>
      </w:r>
      <w:r>
        <w:rPr>
          <w:b/>
          <w:i/>
          <w:u w:val="single"/>
          <w:lang w:val="en-GB"/>
        </w:rPr>
        <w:t>2</w:t>
      </w:r>
      <w:r w:rsidRPr="00C671AB">
        <w:rPr>
          <w:b/>
          <w:i/>
          <w:u w:val="single"/>
          <w:lang w:val="en-GB"/>
        </w:rPr>
        <w:t>:</w:t>
      </w:r>
      <w:r w:rsidRPr="00C671AB">
        <w:rPr>
          <w:b/>
          <w:i/>
          <w:lang w:val="en-GB"/>
        </w:rPr>
        <w:t xml:space="preserve"> </w:t>
      </w:r>
      <w:r>
        <w:rPr>
          <w:b/>
          <w:i/>
          <w:lang w:val="en-GB"/>
        </w:rPr>
        <w:t xml:space="preserve">The specific requirements for TCI activation during SCell activation in FR2 can </w:t>
      </w:r>
      <w:r w:rsidR="0029233D">
        <w:rPr>
          <w:b/>
          <w:i/>
          <w:lang w:val="en-GB"/>
        </w:rPr>
        <w:t>be same as what defined for the requirements for TCI state switching delay</w:t>
      </w:r>
      <w:r w:rsidR="00F574A2">
        <w:rPr>
          <w:b/>
          <w:i/>
          <w:lang w:val="en-GB"/>
        </w:rPr>
        <w:t xml:space="preserve">. </w:t>
      </w: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t>Conclusion</w:t>
      </w:r>
    </w:p>
    <w:p w14:paraId="68DDE295" w14:textId="654411A5" w:rsidR="0031399D" w:rsidRDefault="0031399D" w:rsidP="0031399D">
      <w:pPr>
        <w:rPr>
          <w:rFonts w:cs="Arial"/>
        </w:rPr>
      </w:pPr>
      <w:r w:rsidRPr="004B5FFF">
        <w:rPr>
          <w:rFonts w:cs="Arial"/>
        </w:rPr>
        <w:t xml:space="preserve">In this contribution, further considerations on </w:t>
      </w:r>
      <w:r w:rsidR="007B6B93">
        <w:t>NR</w:t>
      </w:r>
      <w:r w:rsidR="007E30E8">
        <w:t xml:space="preserve"> FR2</w:t>
      </w:r>
      <w:r w:rsidR="007B6B93">
        <w:t xml:space="preserve"> </w:t>
      </w:r>
      <w:r w:rsidR="006934D3">
        <w:t>SCell a</w:t>
      </w:r>
      <w:r w:rsidR="00F64AF1">
        <w:t>ctivation delay</w:t>
      </w:r>
      <w:r w:rsidR="006934D3">
        <w:t xml:space="preserve"> </w:t>
      </w:r>
      <w:r w:rsidR="007B6B93">
        <w:t>requirements</w:t>
      </w:r>
      <w:r w:rsidRPr="004B5FFF">
        <w:rPr>
          <w:rFonts w:cs="Arial"/>
        </w:rPr>
        <w:t>.</w:t>
      </w:r>
      <w:r w:rsidR="00B23CD8">
        <w:rPr>
          <w:rFonts w:cs="Arial"/>
        </w:rPr>
        <w:t xml:space="preserve"> </w:t>
      </w:r>
      <w:r w:rsidRPr="004B5FFF">
        <w:rPr>
          <w:rFonts w:cs="Arial"/>
        </w:rPr>
        <w:t xml:space="preserve">In conclusion, the following observations and proposals can be drawn: </w:t>
      </w:r>
    </w:p>
    <w:p w14:paraId="7B7F9FC7" w14:textId="77777777" w:rsidR="007E30E8" w:rsidRDefault="007E30E8" w:rsidP="007E30E8">
      <w:pPr>
        <w:rPr>
          <w:b/>
          <w:lang w:val="en-GB"/>
        </w:rPr>
      </w:pPr>
      <w:r w:rsidRPr="008B29DB">
        <w:rPr>
          <w:b/>
          <w:u w:val="single"/>
          <w:lang w:val="en-GB"/>
        </w:rPr>
        <w:t>Observation 1:</w:t>
      </w:r>
      <w:r>
        <w:rPr>
          <w:lang w:val="en-GB"/>
        </w:rPr>
        <w:t xml:space="preserve"> </w:t>
      </w:r>
      <w:r>
        <w:rPr>
          <w:b/>
          <w:lang w:val="en-GB"/>
        </w:rPr>
        <w:t>In principle</w:t>
      </w:r>
      <w:r w:rsidRPr="008B29DB">
        <w:rPr>
          <w:b/>
          <w:lang w:val="en-GB"/>
        </w:rPr>
        <w:t xml:space="preserve"> the SCell activation </w:t>
      </w:r>
      <w:r>
        <w:rPr>
          <w:b/>
          <w:lang w:val="en-GB"/>
        </w:rPr>
        <w:t>procedure in FR2 can</w:t>
      </w:r>
      <w:r w:rsidRPr="008B29DB">
        <w:rPr>
          <w:b/>
          <w:lang w:val="en-GB"/>
        </w:rPr>
        <w:t xml:space="preserve"> begin</w:t>
      </w:r>
      <w:r>
        <w:rPr>
          <w:b/>
          <w:lang w:val="en-GB"/>
        </w:rPr>
        <w:t xml:space="preserve"> from the MAC CE reception </w:t>
      </w:r>
      <w:r w:rsidRPr="008B29DB">
        <w:rPr>
          <w:b/>
          <w:lang w:val="en-GB"/>
        </w:rPr>
        <w:t>and end</w:t>
      </w:r>
      <w:r>
        <w:rPr>
          <w:b/>
          <w:lang w:val="en-GB"/>
        </w:rPr>
        <w:t xml:space="preserve"> by the valid CSI feedback to gNB</w:t>
      </w:r>
      <w:r w:rsidRPr="008B29DB">
        <w:rPr>
          <w:b/>
          <w:lang w:val="en-GB"/>
        </w:rPr>
        <w:t>.</w:t>
      </w:r>
    </w:p>
    <w:p w14:paraId="15BD7F56" w14:textId="77777777" w:rsidR="007E30E8" w:rsidRDefault="007E30E8" w:rsidP="007E30E8">
      <w:pPr>
        <w:rPr>
          <w:b/>
          <w:lang w:val="en-GB"/>
        </w:rPr>
      </w:pPr>
      <w:r w:rsidRPr="00A81D06">
        <w:rPr>
          <w:b/>
          <w:u w:val="single"/>
          <w:lang w:val="en-GB"/>
        </w:rPr>
        <w:t>Observation 2:</w:t>
      </w:r>
      <w:r w:rsidRPr="00EC68E4">
        <w:rPr>
          <w:b/>
          <w:lang w:val="en-GB"/>
        </w:rPr>
        <w:t xml:space="preserve"> </w:t>
      </w:r>
      <w:r>
        <w:rPr>
          <w:b/>
          <w:lang w:val="en-GB"/>
        </w:rPr>
        <w:t>After</w:t>
      </w:r>
      <w:r w:rsidRPr="00EC68E4">
        <w:rPr>
          <w:b/>
          <w:lang w:val="en-GB"/>
        </w:rPr>
        <w:t xml:space="preserve"> SCell activation completed, for more </w:t>
      </w:r>
      <w:r>
        <w:rPr>
          <w:b/>
          <w:lang w:val="en-GB"/>
        </w:rPr>
        <w:t>exact</w:t>
      </w:r>
      <w:r w:rsidRPr="00EC68E4">
        <w:rPr>
          <w:b/>
          <w:lang w:val="en-GB"/>
        </w:rPr>
        <w:t xml:space="preserve"> CSI reporting</w:t>
      </w:r>
      <w:r>
        <w:rPr>
          <w:b/>
          <w:lang w:val="en-GB"/>
        </w:rPr>
        <w:t xml:space="preserve"> and other reliable UE reception and transmissions (e.g. PDCCH/PUCCH)</w:t>
      </w:r>
      <w:r w:rsidRPr="00EC68E4">
        <w:rPr>
          <w:b/>
          <w:lang w:val="en-GB"/>
        </w:rPr>
        <w:t>, the fine beam monitoring and adjust</w:t>
      </w:r>
      <w:r>
        <w:rPr>
          <w:b/>
          <w:lang w:val="en-GB"/>
        </w:rPr>
        <w:t>ment is desired</w:t>
      </w:r>
      <w:r w:rsidRPr="00EC68E4">
        <w:rPr>
          <w:b/>
          <w:lang w:val="en-GB"/>
        </w:rPr>
        <w:t xml:space="preserve">. </w:t>
      </w:r>
    </w:p>
    <w:p w14:paraId="01C76E03" w14:textId="77777777" w:rsidR="007E30E8" w:rsidRDefault="007E30E8" w:rsidP="007E30E8">
      <w:pPr>
        <w:pStyle w:val="CommentText"/>
        <w:rPr>
          <w:b/>
          <w:lang w:val="en-GB"/>
        </w:rPr>
      </w:pPr>
      <w:r w:rsidRPr="00A81D06">
        <w:rPr>
          <w:b/>
          <w:u w:val="single"/>
          <w:lang w:val="en-GB"/>
        </w:rPr>
        <w:t xml:space="preserve">Observation </w:t>
      </w:r>
      <w:r>
        <w:rPr>
          <w:b/>
          <w:u w:val="single"/>
          <w:lang w:val="en-GB"/>
        </w:rPr>
        <w:t>3</w:t>
      </w:r>
      <w:r w:rsidRPr="00A81D06">
        <w:rPr>
          <w:b/>
          <w:u w:val="single"/>
          <w:lang w:val="en-GB"/>
        </w:rPr>
        <w:t>:</w:t>
      </w:r>
      <w:r w:rsidRPr="00EC68E4">
        <w:rPr>
          <w:b/>
          <w:lang w:val="en-GB"/>
        </w:rPr>
        <w:t xml:space="preserve"> </w:t>
      </w:r>
      <w:r>
        <w:rPr>
          <w:b/>
          <w:lang w:val="en-GB"/>
        </w:rPr>
        <w:t>TCI activation to indicate the narrow beam to UE can be independent with SCell activation procedure.</w:t>
      </w:r>
    </w:p>
    <w:p w14:paraId="0E3D00F3" w14:textId="77777777" w:rsidR="007E30E8" w:rsidRPr="00C671AB" w:rsidRDefault="007E30E8" w:rsidP="007E30E8">
      <w:pPr>
        <w:overflowPunct w:val="0"/>
        <w:autoSpaceDE w:val="0"/>
        <w:autoSpaceDN w:val="0"/>
        <w:adjustRightInd w:val="0"/>
        <w:spacing w:after="180"/>
      </w:pPr>
      <w:r w:rsidRPr="00C671AB">
        <w:rPr>
          <w:b/>
          <w:i/>
          <w:u w:val="single"/>
          <w:lang w:val="en-GB"/>
        </w:rPr>
        <w:t>Proposal 1:</w:t>
      </w:r>
      <w:r w:rsidRPr="00C671AB">
        <w:rPr>
          <w:b/>
          <w:i/>
          <w:lang w:val="en-GB"/>
        </w:rPr>
        <w:t xml:space="preserve"> SCell activation in FR2 can be defined without TCI activation as: </w:t>
      </w:r>
    </w:p>
    <w:tbl>
      <w:tblPr>
        <w:tblStyle w:val="TableGrid"/>
        <w:tblW w:w="0" w:type="auto"/>
        <w:tblLook w:val="04A0" w:firstRow="1" w:lastRow="0" w:firstColumn="1" w:lastColumn="0" w:noHBand="0" w:noVBand="1"/>
      </w:tblPr>
      <w:tblGrid>
        <w:gridCol w:w="9855"/>
      </w:tblGrid>
      <w:tr w:rsidR="007E30E8" w14:paraId="6CF542DA" w14:textId="77777777" w:rsidTr="00AD599D">
        <w:tc>
          <w:tcPr>
            <w:tcW w:w="9855" w:type="dxa"/>
          </w:tcPr>
          <w:p w14:paraId="555A22EC" w14:textId="77777777" w:rsidR="007E30E8" w:rsidRDefault="007E30E8" w:rsidP="00AD599D">
            <w:pPr>
              <w:pStyle w:val="ListParagraph"/>
              <w:numPr>
                <w:ilvl w:val="0"/>
                <w:numId w:val="36"/>
              </w:numPr>
              <w:overflowPunct w:val="0"/>
              <w:autoSpaceDE w:val="0"/>
              <w:autoSpaceDN w:val="0"/>
              <w:adjustRightInd w:val="0"/>
              <w:spacing w:after="180"/>
              <w:contextualSpacing w:val="0"/>
              <w:rPr>
                <w:rFonts w:ascii="Times New Roman" w:hAnsi="Times New Roman"/>
                <w:b/>
                <w:i/>
                <w:lang w:val="en-GB" w:eastAsia="zh-CN"/>
              </w:rPr>
            </w:pPr>
            <w:r>
              <w:rPr>
                <w:rFonts w:ascii="Times New Roman" w:hAnsi="Times New Roman"/>
                <w:b/>
                <w:i/>
                <w:lang w:val="en-GB" w:eastAsia="zh-CN"/>
              </w:rPr>
              <w:t xml:space="preserve">If SCell in FR2 is known </w:t>
            </w:r>
          </w:p>
          <w:p w14:paraId="7DFA9DDC" w14:textId="77777777" w:rsidR="007E30E8" w:rsidRDefault="007E30E8" w:rsidP="00AD599D">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w:t>
            </w:r>
            <w:r>
              <w:rPr>
                <w:rFonts w:ascii="Times New Roman" w:hAnsi="Times New Roman"/>
                <w:b/>
                <w:i/>
                <w:lang w:val="en-GB" w:eastAsia="zh-CN"/>
              </w:rPr>
              <w:t xml:space="preserve"> </w:t>
            </w:r>
            <w:r w:rsidRPr="00724E8B">
              <w:rPr>
                <w:rFonts w:ascii="Times New Roman" w:hAnsi="Times New Roman"/>
                <w:b/>
                <w:i/>
                <w:lang w:val="en-GB" w:eastAsia="zh-CN"/>
              </w:rPr>
              <w:t>+</w:t>
            </w:r>
            <w:r>
              <w:rPr>
                <w:rFonts w:ascii="Times New Roman" w:hAnsi="Times New Roman"/>
                <w:b/>
                <w:i/>
                <w:lang w:val="en-GB" w:eastAsia="zh-CN"/>
              </w:rPr>
              <w:t xml:space="preserve"> </w:t>
            </w:r>
            <w:r w:rsidRPr="00724E8B">
              <w:rPr>
                <w:rFonts w:ascii="Times New Roman" w:hAnsi="Times New Roman"/>
                <w:b/>
                <w:i/>
                <w:lang w:val="en-GB" w:eastAsia="zh-CN"/>
              </w:rPr>
              <w:t>N*</w:t>
            </w:r>
            <w:r w:rsidRPr="000142B7">
              <w:rPr>
                <w:rFonts w:ascii="Times New Roman" w:hAnsi="Times New Roman"/>
                <w:b/>
                <w:i/>
                <w:color w:val="000000" w:themeColor="text1"/>
                <w:lang w:val="en-GB" w:eastAsia="zh-CN"/>
              </w:rPr>
              <w:t xml:space="preserve"> </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sidRPr="00724E8B">
              <w:rPr>
                <w:rFonts w:ascii="Times New Roman" w:hAnsi="Times New Roman"/>
                <w:b/>
                <w:i/>
                <w:color w:val="000000" w:themeColor="text1"/>
                <w:lang w:val="en-GB" w:eastAsia="zh-CN"/>
              </w:rPr>
              <w:t xml:space="preserve"> + </w:t>
            </w:r>
            <w:r w:rsidRPr="00724E8B">
              <w:rPr>
                <w:rFonts w:ascii="Times New Roman" w:hAnsi="Times New Roman"/>
                <w:b/>
                <w:i/>
                <w:lang w:val="en-GB" w:eastAsia="zh-CN"/>
              </w:rPr>
              <w:t>2ms]</w:t>
            </w:r>
            <w:r>
              <w:rPr>
                <w:rFonts w:ascii="Times New Roman" w:hAnsi="Times New Roman"/>
                <w:b/>
                <w:i/>
                <w:lang w:val="en-GB" w:eastAsia="zh-CN"/>
              </w:rPr>
              <w:t xml:space="preserve"> when </w:t>
            </w:r>
            <w:r w:rsidRPr="000142B7">
              <w:rPr>
                <w:rFonts w:ascii="Times New Roman" w:hAnsi="Times New Roman"/>
                <w:b/>
                <w:i/>
                <w:lang w:val="en-GB" w:eastAsia="zh-CN"/>
              </w:rPr>
              <w:t>the SCell measurement cycle is equ</w:t>
            </w:r>
            <w:r>
              <w:rPr>
                <w:rFonts w:ascii="Times New Roman" w:hAnsi="Times New Roman"/>
                <w:b/>
                <w:i/>
                <w:lang w:val="en-GB" w:eastAsia="zh-CN"/>
              </w:rPr>
              <w:t>al to or smaller than [160ms]</w:t>
            </w:r>
          </w:p>
          <w:p w14:paraId="1286F0DE" w14:textId="77777777" w:rsidR="007E30E8" w:rsidRDefault="007E30E8" w:rsidP="00AD599D">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w:t>
            </w:r>
            <w:r>
              <w:rPr>
                <w:rFonts w:ascii="Times New Roman" w:hAnsi="Times New Roman"/>
                <w:b/>
                <w:i/>
                <w:lang w:val="en-GB" w:eastAsia="zh-CN"/>
              </w:rPr>
              <w:t xml:space="preserve"> </w:t>
            </w:r>
            <w:r w:rsidRPr="00724E8B">
              <w:rPr>
                <w:rFonts w:ascii="Times New Roman" w:hAnsi="Times New Roman"/>
                <w:b/>
                <w:i/>
                <w:lang w:val="en-GB" w:eastAsia="zh-CN"/>
              </w:rPr>
              <w:t>+</w:t>
            </w:r>
            <w:r>
              <w:rPr>
                <w:rFonts w:ascii="Times New Roman" w:hAnsi="Times New Roman"/>
                <w:b/>
                <w:i/>
                <w:lang w:val="en-GB" w:eastAsia="zh-CN"/>
              </w:rPr>
              <w:t xml:space="preserve"> </w:t>
            </w:r>
            <w:r w:rsidRPr="00724E8B">
              <w:rPr>
                <w:rFonts w:ascii="Times New Roman" w:hAnsi="Times New Roman"/>
                <w:b/>
                <w:i/>
                <w:lang w:val="en-GB" w:eastAsia="zh-CN"/>
              </w:rPr>
              <w:t>N*</w:t>
            </w:r>
            <w:r w:rsidRPr="000142B7">
              <w:rPr>
                <w:rFonts w:ascii="Times New Roman" w:hAnsi="Times New Roman"/>
                <w:b/>
                <w:i/>
                <w:color w:val="000000" w:themeColor="text1"/>
                <w:lang w:val="en-GB" w:eastAsia="zh-CN"/>
              </w:rPr>
              <w:t xml:space="preserve"> </w:t>
            </w:r>
            <w:r>
              <w:rPr>
                <w:rFonts w:ascii="Times New Roman" w:hAnsi="Times New Roman"/>
                <w:b/>
                <w:i/>
                <w:color w:val="000000" w:themeColor="text1"/>
                <w:lang w:val="en-GB" w:eastAsia="zh-CN"/>
              </w:rPr>
              <w:t>(</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sidRPr="00724E8B">
              <w:rPr>
                <w:rFonts w:ascii="Times New Roman" w:hAnsi="Times New Roman"/>
                <w:b/>
                <w:i/>
                <w:color w:val="000000" w:themeColor="text1"/>
                <w:lang w:val="en-GB" w:eastAsia="zh-CN"/>
              </w:rPr>
              <w:t xml:space="preserve"> + </w:t>
            </w:r>
            <w:r w:rsidRPr="00724E8B">
              <w:rPr>
                <w:rFonts w:ascii="Times New Roman" w:hAnsi="Times New Roman"/>
                <w:b/>
                <w:i/>
                <w:color w:val="000000" w:themeColor="text1"/>
                <w:lang w:val="en-GB"/>
              </w:rPr>
              <w:t>T</w:t>
            </w:r>
            <w:r w:rsidRPr="00724E8B">
              <w:rPr>
                <w:rFonts w:ascii="Times New Roman" w:hAnsi="Times New Roman"/>
                <w:b/>
                <w:i/>
                <w:color w:val="000000" w:themeColor="text1"/>
                <w:vertAlign w:val="subscript"/>
                <w:lang w:val="en-GB"/>
              </w:rPr>
              <w:t>s</w:t>
            </w:r>
            <w:r w:rsidRPr="00724E8B">
              <w:rPr>
                <w:rFonts w:ascii="Times New Roman" w:hAnsi="Times New Roman"/>
                <w:b/>
                <w:i/>
                <w:color w:val="000000" w:themeColor="text1"/>
                <w:vertAlign w:val="subscript"/>
                <w:lang w:val="en-GB" w:eastAsia="zh-CN"/>
              </w:rPr>
              <w:t>mtc_max</w:t>
            </w:r>
            <w:r>
              <w:rPr>
                <w:rFonts w:ascii="Times New Roman" w:hAnsi="Times New Roman"/>
                <w:b/>
                <w:i/>
                <w:color w:val="000000" w:themeColor="text1"/>
                <w:lang w:val="en-GB" w:eastAsia="zh-CN"/>
              </w:rPr>
              <w:t>)</w:t>
            </w:r>
            <w:r w:rsidRPr="000142B7">
              <w:rPr>
                <w:rFonts w:ascii="Times New Roman" w:hAnsi="Times New Roman"/>
                <w:b/>
                <w:i/>
                <w:color w:val="000000" w:themeColor="text1"/>
                <w:lang w:val="en-GB" w:eastAsia="zh-CN"/>
              </w:rPr>
              <w:t xml:space="preserve"> </w:t>
            </w:r>
            <w:r w:rsidRPr="00724E8B">
              <w:rPr>
                <w:rFonts w:ascii="Times New Roman" w:hAnsi="Times New Roman"/>
                <w:b/>
                <w:i/>
                <w:color w:val="000000" w:themeColor="text1"/>
                <w:lang w:val="en-GB" w:eastAsia="zh-CN"/>
              </w:rPr>
              <w:t xml:space="preserve">+ </w:t>
            </w:r>
            <w:r w:rsidRPr="00724E8B">
              <w:rPr>
                <w:rFonts w:ascii="Times New Roman" w:hAnsi="Times New Roman"/>
                <w:b/>
                <w:i/>
                <w:lang w:val="en-GB" w:eastAsia="zh-CN"/>
              </w:rPr>
              <w:t>2ms]</w:t>
            </w:r>
            <w:r>
              <w:rPr>
                <w:rFonts w:ascii="Times New Roman" w:hAnsi="Times New Roman"/>
                <w:b/>
                <w:i/>
                <w:lang w:val="en-GB" w:eastAsia="zh-CN"/>
              </w:rPr>
              <w:t xml:space="preserve"> when </w:t>
            </w:r>
            <w:r w:rsidRPr="000142B7">
              <w:rPr>
                <w:rFonts w:ascii="Times New Roman" w:hAnsi="Times New Roman"/>
                <w:b/>
                <w:i/>
                <w:lang w:val="en-GB" w:eastAsia="zh-CN"/>
              </w:rPr>
              <w:t xml:space="preserve">the SCell measurement cycle is </w:t>
            </w:r>
            <w:r>
              <w:rPr>
                <w:rFonts w:ascii="Times New Roman" w:hAnsi="Times New Roman"/>
                <w:b/>
                <w:i/>
                <w:lang w:val="en-GB" w:eastAsia="zh-CN"/>
              </w:rPr>
              <w:t>larger than [160ms]</w:t>
            </w:r>
          </w:p>
          <w:p w14:paraId="5DD3365C" w14:textId="77777777" w:rsidR="007E30E8" w:rsidRDefault="007E30E8" w:rsidP="00AD599D">
            <w:pPr>
              <w:pStyle w:val="ListParagraph"/>
              <w:numPr>
                <w:ilvl w:val="0"/>
                <w:numId w:val="36"/>
              </w:numPr>
              <w:overflowPunct w:val="0"/>
              <w:autoSpaceDE w:val="0"/>
              <w:autoSpaceDN w:val="0"/>
              <w:adjustRightInd w:val="0"/>
              <w:spacing w:after="180"/>
              <w:contextualSpacing w:val="0"/>
              <w:rPr>
                <w:rFonts w:ascii="Times New Roman" w:hAnsi="Times New Roman"/>
                <w:b/>
                <w:i/>
                <w:lang w:val="en-GB" w:eastAsia="zh-CN"/>
              </w:rPr>
            </w:pPr>
            <w:r>
              <w:rPr>
                <w:rFonts w:ascii="Times New Roman" w:hAnsi="Times New Roman"/>
                <w:b/>
                <w:i/>
                <w:lang w:val="en-GB" w:eastAsia="zh-CN"/>
              </w:rPr>
              <w:t xml:space="preserve">If SCell in FR2 is unknown </w:t>
            </w:r>
          </w:p>
          <w:p w14:paraId="0AD94CBA" w14:textId="77777777" w:rsidR="007E30E8" w:rsidRPr="00724E8B" w:rsidRDefault="007E30E8" w:rsidP="00AD599D">
            <w:pPr>
              <w:pStyle w:val="ListParagraph"/>
              <w:numPr>
                <w:ilvl w:val="1"/>
                <w:numId w:val="36"/>
              </w:numPr>
              <w:overflowPunct w:val="0"/>
              <w:autoSpaceDE w:val="0"/>
              <w:autoSpaceDN w:val="0"/>
              <w:adjustRightInd w:val="0"/>
              <w:spacing w:after="180"/>
              <w:contextualSpacing w:val="0"/>
              <w:rPr>
                <w:rFonts w:ascii="Times New Roman" w:hAnsi="Times New Roman"/>
                <w:b/>
                <w:i/>
                <w:lang w:val="en-GB" w:eastAsia="zh-CN"/>
              </w:rPr>
            </w:pPr>
            <w:r w:rsidRPr="00724E8B">
              <w:rPr>
                <w:rFonts w:ascii="Times New Roman" w:hAnsi="Times New Roman"/>
                <w:b/>
                <w:i/>
                <w:lang w:val="en-GB" w:eastAsia="zh-CN"/>
              </w:rPr>
              <w:t>T</w:t>
            </w:r>
            <w:r w:rsidRPr="00724E8B">
              <w:rPr>
                <w:rFonts w:ascii="Times New Roman" w:hAnsi="Times New Roman"/>
                <w:b/>
                <w:i/>
                <w:vertAlign w:val="subscript"/>
                <w:lang w:val="en-GB" w:eastAsia="zh-CN"/>
              </w:rPr>
              <w:t>activation_time</w:t>
            </w:r>
            <w:r w:rsidRPr="00724E8B">
              <w:rPr>
                <w:rFonts w:ascii="Times New Roman" w:hAnsi="Times New Roman"/>
                <w:b/>
                <w:i/>
                <w:lang w:val="en-GB" w:eastAsia="zh-CN"/>
              </w:rPr>
              <w:t xml:space="preserve"> = [3ms+N*</w:t>
            </w:r>
            <w:r>
              <w:rPr>
                <w:rFonts w:ascii="Times New Roman" w:hAnsi="Times New Roman"/>
                <w:b/>
                <w:i/>
                <w:lang w:val="en-GB" w:eastAsia="zh-CN"/>
              </w:rPr>
              <w:t>(2*</w:t>
            </w:r>
            <w:r w:rsidRPr="00724E8B">
              <w:rPr>
                <w:rFonts w:ascii="Times New Roman" w:hAnsi="Times New Roman"/>
                <w:b/>
                <w:i/>
                <w:color w:val="000000" w:themeColor="text1"/>
                <w:lang w:val="en-GB"/>
              </w:rPr>
              <w:t>T</w:t>
            </w:r>
            <w:r w:rsidRPr="00724E8B">
              <w:rPr>
                <w:rFonts w:ascii="Times New Roman" w:hAnsi="Times New Roman"/>
                <w:b/>
                <w:i/>
                <w:color w:val="000000" w:themeColor="text1"/>
                <w:vertAlign w:val="subscript"/>
                <w:lang w:val="en-GB"/>
              </w:rPr>
              <w:t>s</w:t>
            </w:r>
            <w:r w:rsidRPr="00724E8B">
              <w:rPr>
                <w:rFonts w:ascii="Times New Roman" w:hAnsi="Times New Roman"/>
                <w:b/>
                <w:i/>
                <w:color w:val="000000" w:themeColor="text1"/>
                <w:vertAlign w:val="subscript"/>
                <w:lang w:val="en-GB" w:eastAsia="zh-CN"/>
              </w:rPr>
              <w:t xml:space="preserve">mtc_max </w:t>
            </w:r>
            <w:r w:rsidRPr="00724E8B">
              <w:rPr>
                <w:rFonts w:ascii="Times New Roman" w:hAnsi="Times New Roman"/>
                <w:b/>
                <w:i/>
                <w:color w:val="000000" w:themeColor="text1"/>
                <w:lang w:val="en-GB" w:eastAsia="zh-CN"/>
              </w:rPr>
              <w:t xml:space="preserve">+ </w:t>
            </w:r>
            <w:r>
              <w:rPr>
                <w:rFonts w:ascii="Times New Roman" w:hAnsi="Times New Roman"/>
                <w:b/>
                <w:i/>
                <w:color w:val="000000" w:themeColor="text1"/>
                <w:lang w:val="en-GB" w:eastAsia="zh-CN"/>
              </w:rPr>
              <w:t>2*</w:t>
            </w:r>
            <w:r w:rsidRPr="00724E8B">
              <w:rPr>
                <w:rFonts w:ascii="Times New Roman" w:hAnsi="Times New Roman"/>
                <w:b/>
                <w:i/>
                <w:color w:val="000000" w:themeColor="text1"/>
                <w:lang w:val="en-GB" w:eastAsia="zh-CN"/>
              </w:rPr>
              <w:t>T</w:t>
            </w:r>
            <w:r w:rsidRPr="00724E8B">
              <w:rPr>
                <w:rFonts w:ascii="Times New Roman" w:hAnsi="Times New Roman"/>
                <w:b/>
                <w:i/>
                <w:color w:val="000000" w:themeColor="text1"/>
                <w:sz w:val="18"/>
                <w:vertAlign w:val="subscript"/>
                <w:lang w:val="en-GB" w:eastAsia="zh-CN"/>
              </w:rPr>
              <w:t>SMTC_SCell</w:t>
            </w:r>
            <w:r>
              <w:rPr>
                <w:rFonts w:ascii="Times New Roman" w:hAnsi="Times New Roman"/>
                <w:b/>
                <w:i/>
                <w:color w:val="000000" w:themeColor="text1"/>
                <w:sz w:val="18"/>
                <w:vertAlign w:val="subscript"/>
                <w:lang w:val="en-GB" w:eastAsia="zh-CN"/>
              </w:rPr>
              <w:t xml:space="preserve"> </w:t>
            </w:r>
            <w:r>
              <w:rPr>
                <w:rFonts w:ascii="Times New Roman" w:hAnsi="Times New Roman"/>
                <w:b/>
                <w:i/>
                <w:lang w:val="en-GB" w:eastAsia="zh-CN"/>
              </w:rPr>
              <w:t>) +</w:t>
            </w:r>
            <w:r w:rsidRPr="00724E8B">
              <w:rPr>
                <w:rFonts w:ascii="Times New Roman" w:hAnsi="Times New Roman"/>
                <w:b/>
                <w:i/>
                <w:lang w:val="en-GB" w:eastAsia="zh-CN"/>
              </w:rPr>
              <w:t xml:space="preserve">2ms] </w:t>
            </w:r>
          </w:p>
          <w:p w14:paraId="4D614539" w14:textId="77777777" w:rsidR="007E30E8" w:rsidRPr="00B54ABE" w:rsidRDefault="007E30E8" w:rsidP="00AD599D">
            <w:pPr>
              <w:overflowPunct w:val="0"/>
              <w:autoSpaceDE w:val="0"/>
              <w:autoSpaceDN w:val="0"/>
              <w:adjustRightInd w:val="0"/>
              <w:spacing w:after="180"/>
              <w:rPr>
                <w:rFonts w:cs="v4.2.0"/>
                <w:b/>
                <w:i/>
              </w:rPr>
            </w:pPr>
            <w:r w:rsidRPr="00B54ABE">
              <w:rPr>
                <w:rFonts w:cs="v4.2.0"/>
                <w:b/>
                <w:i/>
              </w:rPr>
              <w:t>Where,</w:t>
            </w:r>
          </w:p>
          <w:p w14:paraId="27A98AC1" w14:textId="77777777" w:rsidR="007E30E8" w:rsidRPr="000D4A11" w:rsidRDefault="007E30E8" w:rsidP="00AD599D">
            <w:pPr>
              <w:keepNext/>
              <w:keepLines/>
              <w:ind w:left="851" w:hanging="851"/>
              <w:rPr>
                <w:b/>
              </w:rPr>
            </w:pPr>
            <w:r>
              <w:rPr>
                <w:b/>
                <w:i/>
                <w:lang w:val="en-GB"/>
              </w:rPr>
              <w:t>“</w:t>
            </w:r>
            <w:r w:rsidRPr="000D4A11">
              <w:rPr>
                <w:rFonts w:hint="eastAsia"/>
                <w:b/>
                <w:i/>
                <w:lang w:val="en-GB"/>
              </w:rPr>
              <w:t>N</w:t>
            </w:r>
            <w:r>
              <w:rPr>
                <w:b/>
                <w:i/>
                <w:lang w:val="en-GB"/>
              </w:rPr>
              <w:t>”</w:t>
            </w:r>
            <w:r w:rsidRPr="000D4A11">
              <w:rPr>
                <w:rFonts w:hint="eastAsia"/>
                <w:b/>
                <w:i/>
                <w:lang w:val="en-GB"/>
              </w:rPr>
              <w:t xml:space="preserve"> is the scaling factor for </w:t>
            </w:r>
            <w:r w:rsidRPr="000D4A11">
              <w:rPr>
                <w:b/>
                <w:i/>
                <w:lang w:val="en-GB"/>
              </w:rPr>
              <w:t>RX beam sweeping</w:t>
            </w:r>
            <w:r>
              <w:rPr>
                <w:b/>
                <w:i/>
                <w:lang w:val="en-GB"/>
              </w:rPr>
              <w:t xml:space="preserve"> which can be [8].</w:t>
            </w:r>
            <w:r w:rsidRPr="000752DD">
              <w:rPr>
                <w:rFonts w:ascii="Arial" w:hAnsi="Arial"/>
                <w:sz w:val="18"/>
              </w:rPr>
              <w:t xml:space="preserve"> </w:t>
            </w:r>
            <w:r>
              <w:rPr>
                <w:rFonts w:ascii="Arial" w:hAnsi="Arial"/>
                <w:sz w:val="18"/>
              </w:rPr>
              <w:t xml:space="preserve"> </w:t>
            </w:r>
          </w:p>
          <w:p w14:paraId="2E3CC8EF" w14:textId="77777777" w:rsidR="007E30E8" w:rsidRPr="00B67BC8" w:rsidRDefault="007E30E8" w:rsidP="00AD599D">
            <w:pPr>
              <w:overflowPunct w:val="0"/>
              <w:autoSpaceDE w:val="0"/>
              <w:autoSpaceDN w:val="0"/>
              <w:adjustRightInd w:val="0"/>
              <w:spacing w:after="180"/>
              <w:rPr>
                <w:b/>
                <w:i/>
                <w:lang w:val="en-GB"/>
              </w:rPr>
            </w:pPr>
            <w:r w:rsidRPr="001C5145">
              <w:rPr>
                <w:b/>
                <w:i/>
                <w:lang w:val="en-GB"/>
              </w:rPr>
              <w:t xml:space="preserve">Whether SCell in FR2 is known or unknown is up the relevant cell level </w:t>
            </w:r>
            <w:r>
              <w:rPr>
                <w:b/>
                <w:i/>
                <w:lang w:val="en-GB"/>
              </w:rPr>
              <w:t xml:space="preserve">identification </w:t>
            </w:r>
            <w:r w:rsidRPr="001C5145">
              <w:rPr>
                <w:b/>
                <w:i/>
                <w:lang w:val="en-GB"/>
              </w:rPr>
              <w:t xml:space="preserve">requirement has been fulfilled </w:t>
            </w:r>
            <w:r>
              <w:rPr>
                <w:b/>
                <w:i/>
                <w:lang w:val="en-GB"/>
              </w:rPr>
              <w:t>within the past</w:t>
            </w:r>
            <w:r w:rsidRPr="001C5145">
              <w:rPr>
                <w:b/>
                <w:i/>
                <w:lang w:val="en-GB"/>
              </w:rPr>
              <w:t xml:space="preserve"> </w:t>
            </w:r>
            <w:r>
              <w:rPr>
                <w:b/>
                <w:i/>
                <w:lang w:val="en-GB"/>
              </w:rPr>
              <w:t>[TBD]</w:t>
            </w:r>
            <w:r w:rsidRPr="001C5145">
              <w:rPr>
                <w:b/>
                <w:i/>
                <w:lang w:val="en-GB"/>
              </w:rPr>
              <w:t xml:space="preserve"> seconds</w:t>
            </w:r>
            <w:r>
              <w:rPr>
                <w:b/>
                <w:i/>
                <w:lang w:val="en-GB"/>
              </w:rPr>
              <w:t>.</w:t>
            </w:r>
            <w:r w:rsidRPr="000D4A11">
              <w:rPr>
                <w:rFonts w:hint="eastAsia"/>
                <w:b/>
                <w:i/>
                <w:lang w:val="en-GB"/>
              </w:rPr>
              <w:t xml:space="preserve"> </w:t>
            </w:r>
          </w:p>
        </w:tc>
      </w:tr>
    </w:tbl>
    <w:p w14:paraId="181290B8" w14:textId="77777777" w:rsidR="007E30E8" w:rsidRDefault="007E30E8" w:rsidP="007E30E8">
      <w:pPr>
        <w:rPr>
          <w:b/>
          <w:i/>
          <w:u w:val="single"/>
        </w:rPr>
      </w:pPr>
    </w:p>
    <w:p w14:paraId="0956E2B6" w14:textId="77777777" w:rsidR="007E30E8" w:rsidRDefault="007E30E8" w:rsidP="007E30E8">
      <w:pPr>
        <w:rPr>
          <w:lang w:val="en-GB"/>
        </w:rPr>
      </w:pPr>
      <w:r w:rsidRPr="00C671AB">
        <w:rPr>
          <w:b/>
          <w:i/>
          <w:u w:val="single"/>
          <w:lang w:val="en-GB"/>
        </w:rPr>
        <w:t xml:space="preserve">Proposal </w:t>
      </w:r>
      <w:r>
        <w:rPr>
          <w:b/>
          <w:i/>
          <w:u w:val="single"/>
          <w:lang w:val="en-GB"/>
        </w:rPr>
        <w:t>2</w:t>
      </w:r>
      <w:r w:rsidRPr="00C671AB">
        <w:rPr>
          <w:b/>
          <w:i/>
          <w:u w:val="single"/>
          <w:lang w:val="en-GB"/>
        </w:rPr>
        <w:t>:</w:t>
      </w:r>
      <w:r w:rsidRPr="00C671AB">
        <w:rPr>
          <w:b/>
          <w:i/>
          <w:lang w:val="en-GB"/>
        </w:rPr>
        <w:t xml:space="preserve"> </w:t>
      </w:r>
      <w:r>
        <w:rPr>
          <w:b/>
          <w:i/>
          <w:lang w:val="en-GB"/>
        </w:rPr>
        <w:t xml:space="preserve">The specific requirements for TCI activation during SCell activation in FR2 can be same as what defined for the requirements for TCI state switching delay. </w:t>
      </w:r>
    </w:p>
    <w:p w14:paraId="177F002D" w14:textId="77777777" w:rsidR="0031399D" w:rsidRPr="004B5FFF" w:rsidRDefault="0031399D" w:rsidP="0031399D">
      <w:pPr>
        <w:pStyle w:val="Heading1"/>
        <w:numPr>
          <w:ilvl w:val="0"/>
          <w:numId w:val="2"/>
        </w:numPr>
        <w:rPr>
          <w:rFonts w:ascii="Calibri" w:hAnsi="Calibri"/>
        </w:rPr>
      </w:pPr>
      <w:bookmarkStart w:id="1" w:name="_GoBack"/>
      <w:bookmarkEnd w:id="1"/>
      <w:r w:rsidRPr="004B5FFF">
        <w:rPr>
          <w:rFonts w:ascii="Calibri" w:hAnsi="Calibri"/>
        </w:rPr>
        <w:t>References</w:t>
      </w:r>
    </w:p>
    <w:p w14:paraId="0B901A84" w14:textId="77777777" w:rsidR="00EE2081" w:rsidRDefault="000776C4" w:rsidP="0031399D">
      <w:pPr>
        <w:numPr>
          <w:ilvl w:val="0"/>
          <w:numId w:val="1"/>
        </w:numPr>
      </w:pPr>
      <w:hyperlink r:id="rId12" w:history="1">
        <w:r w:rsidR="00EE2081" w:rsidRPr="00EE2081">
          <w:t>R4-1902082</w:t>
        </w:r>
      </w:hyperlink>
      <w:r w:rsidR="00EE2081">
        <w:t>,”</w:t>
      </w:r>
      <w:r w:rsidR="00EE2081" w:rsidRPr="00EE2081">
        <w:t>Way forward on Scell activation for FR2</w:t>
      </w:r>
      <w:r w:rsidR="00EE2081">
        <w:t>”</w:t>
      </w:r>
    </w:p>
    <w:p w14:paraId="079397EB" w14:textId="4BF66C67" w:rsidR="00CA396F" w:rsidRDefault="00CA396F" w:rsidP="00CA396F">
      <w:pPr>
        <w:numPr>
          <w:ilvl w:val="0"/>
          <w:numId w:val="1"/>
        </w:numPr>
      </w:pPr>
      <w:r w:rsidRPr="0092427E">
        <w:t>3GPP TS 3</w:t>
      </w:r>
      <w:r>
        <w:t>8</w:t>
      </w:r>
      <w:r w:rsidRPr="0092427E">
        <w:t>.</w:t>
      </w:r>
      <w:r>
        <w:t>331</w:t>
      </w:r>
      <w:r w:rsidRPr="0092427E">
        <w:t xml:space="preserve"> v15.</w:t>
      </w:r>
      <w:r>
        <w:t>4</w:t>
      </w:r>
      <w:r w:rsidRPr="0092427E">
        <w:t>.0</w:t>
      </w:r>
    </w:p>
    <w:p w14:paraId="79523DAE" w14:textId="0CCF9995" w:rsidR="00CA396F" w:rsidRDefault="00EE2081" w:rsidP="0031399D">
      <w:pPr>
        <w:numPr>
          <w:ilvl w:val="0"/>
          <w:numId w:val="1"/>
        </w:numPr>
      </w:pPr>
      <w:r w:rsidRPr="00966BF4">
        <w:rPr>
          <w:lang w:val="en-GB"/>
        </w:rPr>
        <w:t>R4-1902937</w:t>
      </w:r>
      <w:r w:rsidR="00CA396F">
        <w:rPr>
          <w:rFonts w:eastAsia="MS Mincho"/>
          <w:lang w:val="en-GB"/>
        </w:rPr>
        <w:t>, “</w:t>
      </w:r>
      <w:r w:rsidR="00ED3CD2" w:rsidRPr="00F25FDF">
        <w:t xml:space="preserve">Discussion on </w:t>
      </w:r>
      <w:r w:rsidR="00ED3CD2">
        <w:t>TCI State Switching Requirements</w:t>
      </w:r>
      <w:r w:rsidR="00CA396F">
        <w:rPr>
          <w:rFonts w:eastAsia="MS Mincho"/>
          <w:lang w:val="en-GB"/>
        </w:rPr>
        <w:t>”</w:t>
      </w:r>
    </w:p>
    <w:p w14:paraId="23A0E306" w14:textId="27A0A7B5" w:rsidR="000905BF" w:rsidRDefault="000905BF" w:rsidP="0031399D">
      <w:pPr>
        <w:numPr>
          <w:ilvl w:val="0"/>
          <w:numId w:val="1"/>
        </w:numPr>
      </w:pPr>
      <w:r>
        <w:t>R4-1805968</w:t>
      </w:r>
      <w:r w:rsidR="00EE2081">
        <w:t>,</w:t>
      </w:r>
      <w:r w:rsidR="00ED3CD2">
        <w:t xml:space="preserve"> </w:t>
      </w:r>
      <w:r w:rsidR="00EE2081">
        <w:t>”</w:t>
      </w:r>
      <w:r w:rsidR="00ED3CD2" w:rsidRPr="00ED3CD2">
        <w:t>Way forward on Scell activation delay</w:t>
      </w:r>
      <w:r w:rsidR="00EE2081">
        <w:t>”</w:t>
      </w:r>
    </w:p>
    <w:p w14:paraId="45098C0B" w14:textId="6E321D51" w:rsidR="0031399D" w:rsidRDefault="0031399D" w:rsidP="0031399D">
      <w:pPr>
        <w:numPr>
          <w:ilvl w:val="0"/>
          <w:numId w:val="1"/>
        </w:numPr>
      </w:pPr>
      <w:r w:rsidRPr="0092427E">
        <w:t>3GPP TS 3</w:t>
      </w:r>
      <w:r w:rsidR="00236370">
        <w:t>8</w:t>
      </w:r>
      <w:r w:rsidRPr="0092427E">
        <w:t>.133 v15.</w:t>
      </w:r>
      <w:r w:rsidR="00CA396F">
        <w:t>5</w:t>
      </w:r>
      <w:r w:rsidR="00F26F03" w:rsidRPr="0092427E">
        <w:t>.0</w:t>
      </w:r>
    </w:p>
    <w:sectPr w:rsidR="003139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006F4A" w14:textId="77777777" w:rsidR="000776C4" w:rsidRDefault="000776C4">
      <w:r>
        <w:separator/>
      </w:r>
    </w:p>
  </w:endnote>
  <w:endnote w:type="continuationSeparator" w:id="0">
    <w:p w14:paraId="1B97E903" w14:textId="77777777" w:rsidR="000776C4" w:rsidRDefault="0007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70B9A" w14:textId="77777777" w:rsidR="000776C4" w:rsidRDefault="000776C4">
      <w:r>
        <w:separator/>
      </w:r>
    </w:p>
  </w:footnote>
  <w:footnote w:type="continuationSeparator" w:id="0">
    <w:p w14:paraId="44A076AA" w14:textId="77777777" w:rsidR="000776C4" w:rsidRDefault="00077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D32"/>
    <w:multiLevelType w:val="hybridMultilevel"/>
    <w:tmpl w:val="C48CEBCA"/>
    <w:lvl w:ilvl="0" w:tplc="6B16A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F4AD1"/>
    <w:multiLevelType w:val="hybridMultilevel"/>
    <w:tmpl w:val="024A359C"/>
    <w:lvl w:ilvl="0" w:tplc="06460430">
      <w:start w:val="1"/>
      <w:numFmt w:val="bullet"/>
      <w:lvlText w:val="•"/>
      <w:lvlJc w:val="left"/>
      <w:pPr>
        <w:tabs>
          <w:tab w:val="num" w:pos="720"/>
        </w:tabs>
        <w:ind w:left="720" w:hanging="360"/>
      </w:pPr>
      <w:rPr>
        <w:rFonts w:ascii="Arial" w:hAnsi="Arial" w:hint="default"/>
      </w:rPr>
    </w:lvl>
    <w:lvl w:ilvl="1" w:tplc="02340136" w:tentative="1">
      <w:start w:val="1"/>
      <w:numFmt w:val="bullet"/>
      <w:lvlText w:val="•"/>
      <w:lvlJc w:val="left"/>
      <w:pPr>
        <w:tabs>
          <w:tab w:val="num" w:pos="1440"/>
        </w:tabs>
        <w:ind w:left="1440" w:hanging="360"/>
      </w:pPr>
      <w:rPr>
        <w:rFonts w:ascii="Arial" w:hAnsi="Arial" w:hint="default"/>
      </w:rPr>
    </w:lvl>
    <w:lvl w:ilvl="2" w:tplc="E3141E0C" w:tentative="1">
      <w:start w:val="1"/>
      <w:numFmt w:val="bullet"/>
      <w:lvlText w:val="•"/>
      <w:lvlJc w:val="left"/>
      <w:pPr>
        <w:tabs>
          <w:tab w:val="num" w:pos="2160"/>
        </w:tabs>
        <w:ind w:left="2160" w:hanging="360"/>
      </w:pPr>
      <w:rPr>
        <w:rFonts w:ascii="Arial" w:hAnsi="Arial" w:hint="default"/>
      </w:rPr>
    </w:lvl>
    <w:lvl w:ilvl="3" w:tplc="34EE0602" w:tentative="1">
      <w:start w:val="1"/>
      <w:numFmt w:val="bullet"/>
      <w:lvlText w:val="•"/>
      <w:lvlJc w:val="left"/>
      <w:pPr>
        <w:tabs>
          <w:tab w:val="num" w:pos="2880"/>
        </w:tabs>
        <w:ind w:left="2880" w:hanging="360"/>
      </w:pPr>
      <w:rPr>
        <w:rFonts w:ascii="Arial" w:hAnsi="Arial" w:hint="default"/>
      </w:rPr>
    </w:lvl>
    <w:lvl w:ilvl="4" w:tplc="DEBC585C" w:tentative="1">
      <w:start w:val="1"/>
      <w:numFmt w:val="bullet"/>
      <w:lvlText w:val="•"/>
      <w:lvlJc w:val="left"/>
      <w:pPr>
        <w:tabs>
          <w:tab w:val="num" w:pos="3600"/>
        </w:tabs>
        <w:ind w:left="3600" w:hanging="360"/>
      </w:pPr>
      <w:rPr>
        <w:rFonts w:ascii="Arial" w:hAnsi="Arial" w:hint="default"/>
      </w:rPr>
    </w:lvl>
    <w:lvl w:ilvl="5" w:tplc="4D1A683A" w:tentative="1">
      <w:start w:val="1"/>
      <w:numFmt w:val="bullet"/>
      <w:lvlText w:val="•"/>
      <w:lvlJc w:val="left"/>
      <w:pPr>
        <w:tabs>
          <w:tab w:val="num" w:pos="4320"/>
        </w:tabs>
        <w:ind w:left="4320" w:hanging="360"/>
      </w:pPr>
      <w:rPr>
        <w:rFonts w:ascii="Arial" w:hAnsi="Arial" w:hint="default"/>
      </w:rPr>
    </w:lvl>
    <w:lvl w:ilvl="6" w:tplc="E3281988" w:tentative="1">
      <w:start w:val="1"/>
      <w:numFmt w:val="bullet"/>
      <w:lvlText w:val="•"/>
      <w:lvlJc w:val="left"/>
      <w:pPr>
        <w:tabs>
          <w:tab w:val="num" w:pos="5040"/>
        </w:tabs>
        <w:ind w:left="5040" w:hanging="360"/>
      </w:pPr>
      <w:rPr>
        <w:rFonts w:ascii="Arial" w:hAnsi="Arial" w:hint="default"/>
      </w:rPr>
    </w:lvl>
    <w:lvl w:ilvl="7" w:tplc="DBE47D86" w:tentative="1">
      <w:start w:val="1"/>
      <w:numFmt w:val="bullet"/>
      <w:lvlText w:val="•"/>
      <w:lvlJc w:val="left"/>
      <w:pPr>
        <w:tabs>
          <w:tab w:val="num" w:pos="5760"/>
        </w:tabs>
        <w:ind w:left="5760" w:hanging="360"/>
      </w:pPr>
      <w:rPr>
        <w:rFonts w:ascii="Arial" w:hAnsi="Arial" w:hint="default"/>
      </w:rPr>
    </w:lvl>
    <w:lvl w:ilvl="8" w:tplc="14E847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E21401"/>
    <w:multiLevelType w:val="hybridMultilevel"/>
    <w:tmpl w:val="94E6D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3E50B6"/>
    <w:multiLevelType w:val="hybridMultilevel"/>
    <w:tmpl w:val="508A3AF8"/>
    <w:lvl w:ilvl="0" w:tplc="C902DE00">
      <w:start w:val="1"/>
      <w:numFmt w:val="decimal"/>
      <w:lvlText w:val="%1."/>
      <w:lvlJc w:val="left"/>
      <w:pPr>
        <w:tabs>
          <w:tab w:val="num" w:pos="720"/>
        </w:tabs>
        <w:ind w:left="720" w:hanging="360"/>
      </w:pPr>
    </w:lvl>
    <w:lvl w:ilvl="1" w:tplc="356E063E">
      <w:start w:val="1"/>
      <w:numFmt w:val="decimal"/>
      <w:lvlText w:val="%2."/>
      <w:lvlJc w:val="left"/>
      <w:pPr>
        <w:tabs>
          <w:tab w:val="num" w:pos="1440"/>
        </w:tabs>
        <w:ind w:left="1440" w:hanging="360"/>
      </w:pPr>
    </w:lvl>
    <w:lvl w:ilvl="2" w:tplc="E0941DAC" w:tentative="1">
      <w:start w:val="1"/>
      <w:numFmt w:val="decimal"/>
      <w:lvlText w:val="%3."/>
      <w:lvlJc w:val="left"/>
      <w:pPr>
        <w:tabs>
          <w:tab w:val="num" w:pos="2160"/>
        </w:tabs>
        <w:ind w:left="2160" w:hanging="360"/>
      </w:pPr>
    </w:lvl>
    <w:lvl w:ilvl="3" w:tplc="95345E3A" w:tentative="1">
      <w:start w:val="1"/>
      <w:numFmt w:val="decimal"/>
      <w:lvlText w:val="%4."/>
      <w:lvlJc w:val="left"/>
      <w:pPr>
        <w:tabs>
          <w:tab w:val="num" w:pos="2880"/>
        </w:tabs>
        <w:ind w:left="2880" w:hanging="360"/>
      </w:pPr>
    </w:lvl>
    <w:lvl w:ilvl="4" w:tplc="595CA8E8" w:tentative="1">
      <w:start w:val="1"/>
      <w:numFmt w:val="decimal"/>
      <w:lvlText w:val="%5."/>
      <w:lvlJc w:val="left"/>
      <w:pPr>
        <w:tabs>
          <w:tab w:val="num" w:pos="3600"/>
        </w:tabs>
        <w:ind w:left="3600" w:hanging="360"/>
      </w:pPr>
    </w:lvl>
    <w:lvl w:ilvl="5" w:tplc="79ECC7FE" w:tentative="1">
      <w:start w:val="1"/>
      <w:numFmt w:val="decimal"/>
      <w:lvlText w:val="%6."/>
      <w:lvlJc w:val="left"/>
      <w:pPr>
        <w:tabs>
          <w:tab w:val="num" w:pos="4320"/>
        </w:tabs>
        <w:ind w:left="4320" w:hanging="360"/>
      </w:pPr>
    </w:lvl>
    <w:lvl w:ilvl="6" w:tplc="F0522EEA" w:tentative="1">
      <w:start w:val="1"/>
      <w:numFmt w:val="decimal"/>
      <w:lvlText w:val="%7."/>
      <w:lvlJc w:val="left"/>
      <w:pPr>
        <w:tabs>
          <w:tab w:val="num" w:pos="5040"/>
        </w:tabs>
        <w:ind w:left="5040" w:hanging="360"/>
      </w:pPr>
    </w:lvl>
    <w:lvl w:ilvl="7" w:tplc="489E4B48" w:tentative="1">
      <w:start w:val="1"/>
      <w:numFmt w:val="decimal"/>
      <w:lvlText w:val="%8."/>
      <w:lvlJc w:val="left"/>
      <w:pPr>
        <w:tabs>
          <w:tab w:val="num" w:pos="5760"/>
        </w:tabs>
        <w:ind w:left="5760" w:hanging="360"/>
      </w:pPr>
    </w:lvl>
    <w:lvl w:ilvl="8" w:tplc="60806838" w:tentative="1">
      <w:start w:val="1"/>
      <w:numFmt w:val="decimal"/>
      <w:lvlText w:val="%9."/>
      <w:lvlJc w:val="left"/>
      <w:pPr>
        <w:tabs>
          <w:tab w:val="num" w:pos="6480"/>
        </w:tabs>
        <w:ind w:left="6480" w:hanging="360"/>
      </w:pPr>
    </w:lvl>
  </w:abstractNum>
  <w:abstractNum w:abstractNumId="7" w15:restartNumberingAfterBreak="0">
    <w:nsid w:val="1D1744D3"/>
    <w:multiLevelType w:val="hybridMultilevel"/>
    <w:tmpl w:val="161A26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25188"/>
    <w:multiLevelType w:val="hybridMultilevel"/>
    <w:tmpl w:val="DD98ABE2"/>
    <w:lvl w:ilvl="0" w:tplc="04090001">
      <w:start w:val="4"/>
      <w:numFmt w:val="bullet"/>
      <w:lvlText w:val=""/>
      <w:lvlJc w:val="left"/>
      <w:pPr>
        <w:ind w:left="644" w:hanging="360"/>
      </w:pPr>
      <w:rPr>
        <w:rFonts w:ascii="Symbol" w:eastAsia="Times New Roman" w:hAnsi="Symbol" w:cs="Times New Roman" w:hint="default"/>
      </w:rPr>
    </w:lvl>
    <w:lvl w:ilvl="1" w:tplc="77F4470E">
      <w:start w:val="9"/>
      <w:numFmt w:val="bullet"/>
      <w:lvlText w:val="-"/>
      <w:lvlJc w:val="left"/>
      <w:pPr>
        <w:ind w:left="1364" w:hanging="360"/>
      </w:pPr>
      <w:rPr>
        <w:rFonts w:ascii="Arial" w:eastAsia="Malgun Gothic"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367858E8"/>
    <w:multiLevelType w:val="hybridMultilevel"/>
    <w:tmpl w:val="C39E2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5D3880"/>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676467"/>
    <w:multiLevelType w:val="hybridMultilevel"/>
    <w:tmpl w:val="3D9860EA"/>
    <w:lvl w:ilvl="0" w:tplc="C6C8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49382C"/>
    <w:multiLevelType w:val="hybridMultilevel"/>
    <w:tmpl w:val="39D2B27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A32036"/>
    <w:multiLevelType w:val="hybridMultilevel"/>
    <w:tmpl w:val="B612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80B6F"/>
    <w:multiLevelType w:val="hybridMultilevel"/>
    <w:tmpl w:val="B82271D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3E7DF3"/>
    <w:multiLevelType w:val="multilevel"/>
    <w:tmpl w:val="F6CC8BC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34FD7"/>
    <w:multiLevelType w:val="hybridMultilevel"/>
    <w:tmpl w:val="6BD2D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59C5"/>
    <w:multiLevelType w:val="hybridMultilevel"/>
    <w:tmpl w:val="58309314"/>
    <w:lvl w:ilvl="0" w:tplc="C4EAC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666AC8"/>
    <w:multiLevelType w:val="multilevel"/>
    <w:tmpl w:val="864EE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912800"/>
    <w:multiLevelType w:val="hybridMultilevel"/>
    <w:tmpl w:val="5E405228"/>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C963C5E"/>
    <w:multiLevelType w:val="hybridMultilevel"/>
    <w:tmpl w:val="51D81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3205D"/>
    <w:multiLevelType w:val="hybridMultilevel"/>
    <w:tmpl w:val="7C3EE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B516F7"/>
    <w:multiLevelType w:val="hybridMultilevel"/>
    <w:tmpl w:val="83B8C0C0"/>
    <w:lvl w:ilvl="0" w:tplc="283851C8">
      <w:start w:val="1"/>
      <w:numFmt w:val="bullet"/>
      <w:lvlText w:val="•"/>
      <w:lvlJc w:val="left"/>
      <w:pPr>
        <w:tabs>
          <w:tab w:val="num" w:pos="720"/>
        </w:tabs>
        <w:ind w:left="720" w:hanging="360"/>
      </w:pPr>
      <w:rPr>
        <w:rFonts w:ascii="Arial" w:hAnsi="Arial" w:hint="default"/>
      </w:rPr>
    </w:lvl>
    <w:lvl w:ilvl="1" w:tplc="F35A86B2">
      <w:start w:val="13582"/>
      <w:numFmt w:val="bullet"/>
      <w:lvlText w:val="•"/>
      <w:lvlJc w:val="left"/>
      <w:pPr>
        <w:tabs>
          <w:tab w:val="num" w:pos="1440"/>
        </w:tabs>
        <w:ind w:left="1440" w:hanging="360"/>
      </w:pPr>
      <w:rPr>
        <w:rFonts w:ascii="Arial" w:hAnsi="Arial" w:hint="default"/>
      </w:rPr>
    </w:lvl>
    <w:lvl w:ilvl="2" w:tplc="ED7E79E0">
      <w:start w:val="13582"/>
      <w:numFmt w:val="bullet"/>
      <w:lvlText w:val="•"/>
      <w:lvlJc w:val="left"/>
      <w:pPr>
        <w:tabs>
          <w:tab w:val="num" w:pos="2160"/>
        </w:tabs>
        <w:ind w:left="2160" w:hanging="360"/>
      </w:pPr>
      <w:rPr>
        <w:rFonts w:ascii="Arial" w:hAnsi="Arial" w:hint="default"/>
      </w:rPr>
    </w:lvl>
    <w:lvl w:ilvl="3" w:tplc="2684EAE8" w:tentative="1">
      <w:start w:val="1"/>
      <w:numFmt w:val="bullet"/>
      <w:lvlText w:val="•"/>
      <w:lvlJc w:val="left"/>
      <w:pPr>
        <w:tabs>
          <w:tab w:val="num" w:pos="2880"/>
        </w:tabs>
        <w:ind w:left="2880" w:hanging="360"/>
      </w:pPr>
      <w:rPr>
        <w:rFonts w:ascii="Arial" w:hAnsi="Arial" w:hint="default"/>
      </w:rPr>
    </w:lvl>
    <w:lvl w:ilvl="4" w:tplc="47E6A56C" w:tentative="1">
      <w:start w:val="1"/>
      <w:numFmt w:val="bullet"/>
      <w:lvlText w:val="•"/>
      <w:lvlJc w:val="left"/>
      <w:pPr>
        <w:tabs>
          <w:tab w:val="num" w:pos="3600"/>
        </w:tabs>
        <w:ind w:left="3600" w:hanging="360"/>
      </w:pPr>
      <w:rPr>
        <w:rFonts w:ascii="Arial" w:hAnsi="Arial" w:hint="default"/>
      </w:rPr>
    </w:lvl>
    <w:lvl w:ilvl="5" w:tplc="9A40295C" w:tentative="1">
      <w:start w:val="1"/>
      <w:numFmt w:val="bullet"/>
      <w:lvlText w:val="•"/>
      <w:lvlJc w:val="left"/>
      <w:pPr>
        <w:tabs>
          <w:tab w:val="num" w:pos="4320"/>
        </w:tabs>
        <w:ind w:left="4320" w:hanging="360"/>
      </w:pPr>
      <w:rPr>
        <w:rFonts w:ascii="Arial" w:hAnsi="Arial" w:hint="default"/>
      </w:rPr>
    </w:lvl>
    <w:lvl w:ilvl="6" w:tplc="33385FBE" w:tentative="1">
      <w:start w:val="1"/>
      <w:numFmt w:val="bullet"/>
      <w:lvlText w:val="•"/>
      <w:lvlJc w:val="left"/>
      <w:pPr>
        <w:tabs>
          <w:tab w:val="num" w:pos="5040"/>
        </w:tabs>
        <w:ind w:left="5040" w:hanging="360"/>
      </w:pPr>
      <w:rPr>
        <w:rFonts w:ascii="Arial" w:hAnsi="Arial" w:hint="default"/>
      </w:rPr>
    </w:lvl>
    <w:lvl w:ilvl="7" w:tplc="7610B348" w:tentative="1">
      <w:start w:val="1"/>
      <w:numFmt w:val="bullet"/>
      <w:lvlText w:val="•"/>
      <w:lvlJc w:val="left"/>
      <w:pPr>
        <w:tabs>
          <w:tab w:val="num" w:pos="5760"/>
        </w:tabs>
        <w:ind w:left="5760" w:hanging="360"/>
      </w:pPr>
      <w:rPr>
        <w:rFonts w:ascii="Arial" w:hAnsi="Arial" w:hint="default"/>
      </w:rPr>
    </w:lvl>
    <w:lvl w:ilvl="8" w:tplc="75E2C6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7F63B3"/>
    <w:multiLevelType w:val="multilevel"/>
    <w:tmpl w:val="91EC883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936531D"/>
    <w:multiLevelType w:val="hybridMultilevel"/>
    <w:tmpl w:val="7FF09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926B81"/>
    <w:multiLevelType w:val="hybridMultilevel"/>
    <w:tmpl w:val="F6000754"/>
    <w:lvl w:ilvl="0" w:tplc="793674C6">
      <w:start w:val="1"/>
      <w:numFmt w:val="bullet"/>
      <w:lvlText w:val="•"/>
      <w:lvlJc w:val="left"/>
      <w:pPr>
        <w:tabs>
          <w:tab w:val="num" w:pos="720"/>
        </w:tabs>
        <w:ind w:left="720" w:hanging="360"/>
      </w:pPr>
      <w:rPr>
        <w:rFonts w:ascii="Arial" w:hAnsi="Arial" w:hint="default"/>
      </w:rPr>
    </w:lvl>
    <w:lvl w:ilvl="1" w:tplc="3C445E36">
      <w:start w:val="12835"/>
      <w:numFmt w:val="bullet"/>
      <w:lvlText w:val="•"/>
      <w:lvlJc w:val="left"/>
      <w:pPr>
        <w:tabs>
          <w:tab w:val="num" w:pos="1440"/>
        </w:tabs>
        <w:ind w:left="1440" w:hanging="360"/>
      </w:pPr>
      <w:rPr>
        <w:rFonts w:ascii="Arial" w:hAnsi="Arial" w:hint="default"/>
      </w:rPr>
    </w:lvl>
    <w:lvl w:ilvl="2" w:tplc="9C226996">
      <w:start w:val="12835"/>
      <w:numFmt w:val="bullet"/>
      <w:lvlText w:val="•"/>
      <w:lvlJc w:val="left"/>
      <w:pPr>
        <w:tabs>
          <w:tab w:val="num" w:pos="2160"/>
        </w:tabs>
        <w:ind w:left="2160" w:hanging="360"/>
      </w:pPr>
      <w:rPr>
        <w:rFonts w:ascii="Arial" w:hAnsi="Arial" w:hint="default"/>
      </w:rPr>
    </w:lvl>
    <w:lvl w:ilvl="3" w:tplc="254E8A2A" w:tentative="1">
      <w:start w:val="1"/>
      <w:numFmt w:val="bullet"/>
      <w:lvlText w:val="•"/>
      <w:lvlJc w:val="left"/>
      <w:pPr>
        <w:tabs>
          <w:tab w:val="num" w:pos="2880"/>
        </w:tabs>
        <w:ind w:left="2880" w:hanging="360"/>
      </w:pPr>
      <w:rPr>
        <w:rFonts w:ascii="Arial" w:hAnsi="Arial" w:hint="default"/>
      </w:rPr>
    </w:lvl>
    <w:lvl w:ilvl="4" w:tplc="0E1C8D86" w:tentative="1">
      <w:start w:val="1"/>
      <w:numFmt w:val="bullet"/>
      <w:lvlText w:val="•"/>
      <w:lvlJc w:val="left"/>
      <w:pPr>
        <w:tabs>
          <w:tab w:val="num" w:pos="3600"/>
        </w:tabs>
        <w:ind w:left="3600" w:hanging="360"/>
      </w:pPr>
      <w:rPr>
        <w:rFonts w:ascii="Arial" w:hAnsi="Arial" w:hint="default"/>
      </w:rPr>
    </w:lvl>
    <w:lvl w:ilvl="5" w:tplc="E530DDDE" w:tentative="1">
      <w:start w:val="1"/>
      <w:numFmt w:val="bullet"/>
      <w:lvlText w:val="•"/>
      <w:lvlJc w:val="left"/>
      <w:pPr>
        <w:tabs>
          <w:tab w:val="num" w:pos="4320"/>
        </w:tabs>
        <w:ind w:left="4320" w:hanging="360"/>
      </w:pPr>
      <w:rPr>
        <w:rFonts w:ascii="Arial" w:hAnsi="Arial" w:hint="default"/>
      </w:rPr>
    </w:lvl>
    <w:lvl w:ilvl="6" w:tplc="17A6A0D0" w:tentative="1">
      <w:start w:val="1"/>
      <w:numFmt w:val="bullet"/>
      <w:lvlText w:val="•"/>
      <w:lvlJc w:val="left"/>
      <w:pPr>
        <w:tabs>
          <w:tab w:val="num" w:pos="5040"/>
        </w:tabs>
        <w:ind w:left="5040" w:hanging="360"/>
      </w:pPr>
      <w:rPr>
        <w:rFonts w:ascii="Arial" w:hAnsi="Arial" w:hint="default"/>
      </w:rPr>
    </w:lvl>
    <w:lvl w:ilvl="7" w:tplc="FB187414" w:tentative="1">
      <w:start w:val="1"/>
      <w:numFmt w:val="bullet"/>
      <w:lvlText w:val="•"/>
      <w:lvlJc w:val="left"/>
      <w:pPr>
        <w:tabs>
          <w:tab w:val="num" w:pos="5760"/>
        </w:tabs>
        <w:ind w:left="5760" w:hanging="360"/>
      </w:pPr>
      <w:rPr>
        <w:rFonts w:ascii="Arial" w:hAnsi="Arial" w:hint="default"/>
      </w:rPr>
    </w:lvl>
    <w:lvl w:ilvl="8" w:tplc="C73E3E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4136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29"/>
  </w:num>
  <w:num w:numId="3">
    <w:abstractNumId w:val="14"/>
  </w:num>
  <w:num w:numId="4">
    <w:abstractNumId w:val="4"/>
  </w:num>
  <w:num w:numId="5">
    <w:abstractNumId w:val="8"/>
  </w:num>
  <w:num w:numId="6">
    <w:abstractNumId w:val="5"/>
  </w:num>
  <w:num w:numId="7">
    <w:abstractNumId w:val="19"/>
  </w:num>
  <w:num w:numId="8">
    <w:abstractNumId w:val="23"/>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2"/>
  </w:num>
  <w:num w:numId="14">
    <w:abstractNumId w:val="35"/>
  </w:num>
  <w:num w:numId="15">
    <w:abstractNumId w:val="10"/>
  </w:num>
  <w:num w:numId="16">
    <w:abstractNumId w:val="11"/>
  </w:num>
  <w:num w:numId="17">
    <w:abstractNumId w:val="32"/>
  </w:num>
  <w:num w:numId="18">
    <w:abstractNumId w:val="18"/>
  </w:num>
  <w:num w:numId="19">
    <w:abstractNumId w:val="20"/>
  </w:num>
  <w:num w:numId="20">
    <w:abstractNumId w:val="25"/>
  </w:num>
  <w:num w:numId="21">
    <w:abstractNumId w:val="33"/>
  </w:num>
  <w:num w:numId="22">
    <w:abstractNumId w:val="30"/>
  </w:num>
  <w:num w:numId="23">
    <w:abstractNumId w:val="26"/>
  </w:num>
  <w:num w:numId="24">
    <w:abstractNumId w:val="34"/>
  </w:num>
  <w:num w:numId="25">
    <w:abstractNumId w:val="3"/>
  </w:num>
  <w:num w:numId="26">
    <w:abstractNumId w:val="13"/>
  </w:num>
  <w:num w:numId="27">
    <w:abstractNumId w:val="27"/>
  </w:num>
  <w:num w:numId="28">
    <w:abstractNumId w:val="1"/>
  </w:num>
  <w:num w:numId="29">
    <w:abstractNumId w:val="9"/>
  </w:num>
  <w:num w:numId="30">
    <w:abstractNumId w:val="16"/>
  </w:num>
  <w:num w:numId="31">
    <w:abstractNumId w:val="21"/>
  </w:num>
  <w:num w:numId="32">
    <w:abstractNumId w:val="7"/>
  </w:num>
  <w:num w:numId="33">
    <w:abstractNumId w:val="0"/>
  </w:num>
  <w:num w:numId="34">
    <w:abstractNumId w:val="17"/>
  </w:num>
  <w:num w:numId="35">
    <w:abstractNumId w:val="12"/>
  </w:num>
  <w:num w:numId="36">
    <w:abstractNumId w:val="24"/>
  </w:num>
  <w:num w:numId="3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07A3A"/>
    <w:rsid w:val="00010086"/>
    <w:rsid w:val="00010823"/>
    <w:rsid w:val="00011456"/>
    <w:rsid w:val="00011779"/>
    <w:rsid w:val="0001295C"/>
    <w:rsid w:val="00013939"/>
    <w:rsid w:val="000142B7"/>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3FA"/>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5A7"/>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100"/>
    <w:rsid w:val="00070558"/>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776C4"/>
    <w:rsid w:val="00080317"/>
    <w:rsid w:val="000808A6"/>
    <w:rsid w:val="00080A12"/>
    <w:rsid w:val="0008162B"/>
    <w:rsid w:val="000817F2"/>
    <w:rsid w:val="00081AF1"/>
    <w:rsid w:val="0008259C"/>
    <w:rsid w:val="000836C7"/>
    <w:rsid w:val="0008384E"/>
    <w:rsid w:val="00083C5B"/>
    <w:rsid w:val="00083FB0"/>
    <w:rsid w:val="00084276"/>
    <w:rsid w:val="00084304"/>
    <w:rsid w:val="00084CBD"/>
    <w:rsid w:val="00084DE6"/>
    <w:rsid w:val="00085612"/>
    <w:rsid w:val="000863AB"/>
    <w:rsid w:val="0008734C"/>
    <w:rsid w:val="00087858"/>
    <w:rsid w:val="00090073"/>
    <w:rsid w:val="000905BF"/>
    <w:rsid w:val="000917DB"/>
    <w:rsid w:val="00091BC5"/>
    <w:rsid w:val="00091F15"/>
    <w:rsid w:val="00091F51"/>
    <w:rsid w:val="00092623"/>
    <w:rsid w:val="0009308E"/>
    <w:rsid w:val="0009343C"/>
    <w:rsid w:val="00093B47"/>
    <w:rsid w:val="00093B9D"/>
    <w:rsid w:val="00094DA1"/>
    <w:rsid w:val="0009580C"/>
    <w:rsid w:val="00096BEB"/>
    <w:rsid w:val="00096DB4"/>
    <w:rsid w:val="000972EA"/>
    <w:rsid w:val="00097549"/>
    <w:rsid w:val="0009771C"/>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4BC"/>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1E5F"/>
    <w:rsid w:val="000D2278"/>
    <w:rsid w:val="000D2B90"/>
    <w:rsid w:val="000D3912"/>
    <w:rsid w:val="000D3C21"/>
    <w:rsid w:val="000D4A11"/>
    <w:rsid w:val="000D5E04"/>
    <w:rsid w:val="000D6626"/>
    <w:rsid w:val="000D7D65"/>
    <w:rsid w:val="000E0C7D"/>
    <w:rsid w:val="000E14B3"/>
    <w:rsid w:val="000E2130"/>
    <w:rsid w:val="000E23FE"/>
    <w:rsid w:val="000E27CF"/>
    <w:rsid w:val="000E3D1F"/>
    <w:rsid w:val="000E448C"/>
    <w:rsid w:val="000E4D0D"/>
    <w:rsid w:val="000E548D"/>
    <w:rsid w:val="000E5BD3"/>
    <w:rsid w:val="000E630E"/>
    <w:rsid w:val="000E6E5C"/>
    <w:rsid w:val="000E706C"/>
    <w:rsid w:val="000E7AFA"/>
    <w:rsid w:val="000F0E8B"/>
    <w:rsid w:val="000F130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17957"/>
    <w:rsid w:val="00120801"/>
    <w:rsid w:val="00120888"/>
    <w:rsid w:val="00120E91"/>
    <w:rsid w:val="00121E5E"/>
    <w:rsid w:val="0012222B"/>
    <w:rsid w:val="001228AF"/>
    <w:rsid w:val="00122ABF"/>
    <w:rsid w:val="001246B3"/>
    <w:rsid w:val="001252C5"/>
    <w:rsid w:val="001258C6"/>
    <w:rsid w:val="00125E2D"/>
    <w:rsid w:val="001260AD"/>
    <w:rsid w:val="00126A29"/>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B79"/>
    <w:rsid w:val="00146F25"/>
    <w:rsid w:val="0014747E"/>
    <w:rsid w:val="001501F9"/>
    <w:rsid w:val="00150222"/>
    <w:rsid w:val="0015087F"/>
    <w:rsid w:val="00151039"/>
    <w:rsid w:val="001520E4"/>
    <w:rsid w:val="0015216A"/>
    <w:rsid w:val="00152FB5"/>
    <w:rsid w:val="00153122"/>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32F"/>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0803"/>
    <w:rsid w:val="001A1035"/>
    <w:rsid w:val="001A14E6"/>
    <w:rsid w:val="001A2124"/>
    <w:rsid w:val="001A225A"/>
    <w:rsid w:val="001A248E"/>
    <w:rsid w:val="001A2E9E"/>
    <w:rsid w:val="001A3853"/>
    <w:rsid w:val="001A38CD"/>
    <w:rsid w:val="001A391A"/>
    <w:rsid w:val="001A3E40"/>
    <w:rsid w:val="001A3E51"/>
    <w:rsid w:val="001A4272"/>
    <w:rsid w:val="001A443C"/>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3483"/>
    <w:rsid w:val="001B36A2"/>
    <w:rsid w:val="001B479F"/>
    <w:rsid w:val="001B488B"/>
    <w:rsid w:val="001B4C59"/>
    <w:rsid w:val="001B55B0"/>
    <w:rsid w:val="001B58A9"/>
    <w:rsid w:val="001B63E6"/>
    <w:rsid w:val="001C016A"/>
    <w:rsid w:val="001C0784"/>
    <w:rsid w:val="001C125B"/>
    <w:rsid w:val="001C14EC"/>
    <w:rsid w:val="001C15DA"/>
    <w:rsid w:val="001C2489"/>
    <w:rsid w:val="001C2686"/>
    <w:rsid w:val="001C300D"/>
    <w:rsid w:val="001C34AB"/>
    <w:rsid w:val="001C3A6A"/>
    <w:rsid w:val="001C3B00"/>
    <w:rsid w:val="001C4337"/>
    <w:rsid w:val="001C4676"/>
    <w:rsid w:val="001C4D9F"/>
    <w:rsid w:val="001C4EEC"/>
    <w:rsid w:val="001C5145"/>
    <w:rsid w:val="001C5B21"/>
    <w:rsid w:val="001C5E7D"/>
    <w:rsid w:val="001C639E"/>
    <w:rsid w:val="001C6501"/>
    <w:rsid w:val="001C69CF"/>
    <w:rsid w:val="001C6A2E"/>
    <w:rsid w:val="001C6BAD"/>
    <w:rsid w:val="001C7625"/>
    <w:rsid w:val="001D0853"/>
    <w:rsid w:val="001D202B"/>
    <w:rsid w:val="001D2962"/>
    <w:rsid w:val="001D2C8A"/>
    <w:rsid w:val="001D3830"/>
    <w:rsid w:val="001D3CB6"/>
    <w:rsid w:val="001D4501"/>
    <w:rsid w:val="001D4863"/>
    <w:rsid w:val="001D4F9E"/>
    <w:rsid w:val="001D5531"/>
    <w:rsid w:val="001D5DA0"/>
    <w:rsid w:val="001D5DE8"/>
    <w:rsid w:val="001D61E6"/>
    <w:rsid w:val="001D7037"/>
    <w:rsid w:val="001D7650"/>
    <w:rsid w:val="001D76FE"/>
    <w:rsid w:val="001E0285"/>
    <w:rsid w:val="001E05E3"/>
    <w:rsid w:val="001E0735"/>
    <w:rsid w:val="001E0B40"/>
    <w:rsid w:val="001E12E8"/>
    <w:rsid w:val="001E1CF2"/>
    <w:rsid w:val="001E2B47"/>
    <w:rsid w:val="001E2BD4"/>
    <w:rsid w:val="001E2C4C"/>
    <w:rsid w:val="001E3F84"/>
    <w:rsid w:val="001E3FC1"/>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36A"/>
    <w:rsid w:val="001F74C3"/>
    <w:rsid w:val="00200F68"/>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93D"/>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3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0BB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2D84"/>
    <w:rsid w:val="00273761"/>
    <w:rsid w:val="0027392E"/>
    <w:rsid w:val="002740C4"/>
    <w:rsid w:val="0027444E"/>
    <w:rsid w:val="00274598"/>
    <w:rsid w:val="00275176"/>
    <w:rsid w:val="00275CE5"/>
    <w:rsid w:val="00275FEA"/>
    <w:rsid w:val="002768EF"/>
    <w:rsid w:val="0027757F"/>
    <w:rsid w:val="0027780A"/>
    <w:rsid w:val="00277836"/>
    <w:rsid w:val="00280062"/>
    <w:rsid w:val="002801D5"/>
    <w:rsid w:val="002805E5"/>
    <w:rsid w:val="00280C91"/>
    <w:rsid w:val="00281DC1"/>
    <w:rsid w:val="00282ACE"/>
    <w:rsid w:val="00282EB8"/>
    <w:rsid w:val="00283083"/>
    <w:rsid w:val="002848C7"/>
    <w:rsid w:val="00284E71"/>
    <w:rsid w:val="00285156"/>
    <w:rsid w:val="002851A3"/>
    <w:rsid w:val="00285510"/>
    <w:rsid w:val="002861EB"/>
    <w:rsid w:val="00286227"/>
    <w:rsid w:val="00286384"/>
    <w:rsid w:val="00286463"/>
    <w:rsid w:val="002867BD"/>
    <w:rsid w:val="002873D1"/>
    <w:rsid w:val="00287627"/>
    <w:rsid w:val="00287FFD"/>
    <w:rsid w:val="00290628"/>
    <w:rsid w:val="002906E7"/>
    <w:rsid w:val="002910EE"/>
    <w:rsid w:val="0029233D"/>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579"/>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17C"/>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3C6"/>
    <w:rsid w:val="002F54FD"/>
    <w:rsid w:val="002F64BB"/>
    <w:rsid w:val="002F6CF8"/>
    <w:rsid w:val="002F72DA"/>
    <w:rsid w:val="002F7CC9"/>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0CE2"/>
    <w:rsid w:val="00331C6A"/>
    <w:rsid w:val="003320AE"/>
    <w:rsid w:val="0033241D"/>
    <w:rsid w:val="00332709"/>
    <w:rsid w:val="00333319"/>
    <w:rsid w:val="00333E46"/>
    <w:rsid w:val="00334314"/>
    <w:rsid w:val="0033464F"/>
    <w:rsid w:val="00334AA0"/>
    <w:rsid w:val="00334FCF"/>
    <w:rsid w:val="00335473"/>
    <w:rsid w:val="00336B61"/>
    <w:rsid w:val="00337162"/>
    <w:rsid w:val="00340EC0"/>
    <w:rsid w:val="0034111C"/>
    <w:rsid w:val="003411BB"/>
    <w:rsid w:val="00341AF3"/>
    <w:rsid w:val="00341B77"/>
    <w:rsid w:val="003429AC"/>
    <w:rsid w:val="00342E44"/>
    <w:rsid w:val="003447A5"/>
    <w:rsid w:val="00345A1A"/>
    <w:rsid w:val="00345F76"/>
    <w:rsid w:val="00346539"/>
    <w:rsid w:val="0034688E"/>
    <w:rsid w:val="00346A2E"/>
    <w:rsid w:val="00347464"/>
    <w:rsid w:val="0034787E"/>
    <w:rsid w:val="00347E57"/>
    <w:rsid w:val="00347E65"/>
    <w:rsid w:val="003503D8"/>
    <w:rsid w:val="0035090A"/>
    <w:rsid w:val="00350ADD"/>
    <w:rsid w:val="00350B34"/>
    <w:rsid w:val="00350B92"/>
    <w:rsid w:val="00351073"/>
    <w:rsid w:val="003512C6"/>
    <w:rsid w:val="00351AFC"/>
    <w:rsid w:val="00351CD2"/>
    <w:rsid w:val="00352096"/>
    <w:rsid w:val="0035240B"/>
    <w:rsid w:val="00352D21"/>
    <w:rsid w:val="003533A1"/>
    <w:rsid w:val="00353440"/>
    <w:rsid w:val="003539D6"/>
    <w:rsid w:val="00353A43"/>
    <w:rsid w:val="00353A6C"/>
    <w:rsid w:val="003540B3"/>
    <w:rsid w:val="00354664"/>
    <w:rsid w:val="00355848"/>
    <w:rsid w:val="00356250"/>
    <w:rsid w:val="00356345"/>
    <w:rsid w:val="0035638A"/>
    <w:rsid w:val="00356CD8"/>
    <w:rsid w:val="00356EFD"/>
    <w:rsid w:val="00357B9C"/>
    <w:rsid w:val="00357F2D"/>
    <w:rsid w:val="00360044"/>
    <w:rsid w:val="00360693"/>
    <w:rsid w:val="00360A11"/>
    <w:rsid w:val="00360A5E"/>
    <w:rsid w:val="003610DD"/>
    <w:rsid w:val="003611E7"/>
    <w:rsid w:val="003613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6D9"/>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7E"/>
    <w:rsid w:val="00387D9F"/>
    <w:rsid w:val="0039053F"/>
    <w:rsid w:val="00390FA1"/>
    <w:rsid w:val="00390FFA"/>
    <w:rsid w:val="0039146A"/>
    <w:rsid w:val="0039185D"/>
    <w:rsid w:val="0039200B"/>
    <w:rsid w:val="00392208"/>
    <w:rsid w:val="0039232F"/>
    <w:rsid w:val="00392D42"/>
    <w:rsid w:val="00393754"/>
    <w:rsid w:val="00393B15"/>
    <w:rsid w:val="00394075"/>
    <w:rsid w:val="00394557"/>
    <w:rsid w:val="00394A1B"/>
    <w:rsid w:val="00394A6C"/>
    <w:rsid w:val="00395543"/>
    <w:rsid w:val="00395C8D"/>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2B0F"/>
    <w:rsid w:val="003B39A6"/>
    <w:rsid w:val="003B4975"/>
    <w:rsid w:val="003B4BEB"/>
    <w:rsid w:val="003B4F7B"/>
    <w:rsid w:val="003B50D7"/>
    <w:rsid w:val="003B5AA1"/>
    <w:rsid w:val="003B5C2A"/>
    <w:rsid w:val="003B6070"/>
    <w:rsid w:val="003B653D"/>
    <w:rsid w:val="003B75B2"/>
    <w:rsid w:val="003C0229"/>
    <w:rsid w:val="003C02AC"/>
    <w:rsid w:val="003C0622"/>
    <w:rsid w:val="003C09A7"/>
    <w:rsid w:val="003C0D83"/>
    <w:rsid w:val="003C1699"/>
    <w:rsid w:val="003C2834"/>
    <w:rsid w:val="003C2925"/>
    <w:rsid w:val="003C3788"/>
    <w:rsid w:val="003C446D"/>
    <w:rsid w:val="003C447D"/>
    <w:rsid w:val="003C49E6"/>
    <w:rsid w:val="003C5463"/>
    <w:rsid w:val="003C60FA"/>
    <w:rsid w:val="003C6E49"/>
    <w:rsid w:val="003C6F98"/>
    <w:rsid w:val="003C78B6"/>
    <w:rsid w:val="003C7E14"/>
    <w:rsid w:val="003D01A6"/>
    <w:rsid w:val="003D01F4"/>
    <w:rsid w:val="003D05A3"/>
    <w:rsid w:val="003D24D5"/>
    <w:rsid w:val="003D2EFA"/>
    <w:rsid w:val="003D36EA"/>
    <w:rsid w:val="003D3B25"/>
    <w:rsid w:val="003D3E60"/>
    <w:rsid w:val="003D402B"/>
    <w:rsid w:val="003D43A7"/>
    <w:rsid w:val="003D46F1"/>
    <w:rsid w:val="003D4A58"/>
    <w:rsid w:val="003D52EA"/>
    <w:rsid w:val="003D53A4"/>
    <w:rsid w:val="003D5BC6"/>
    <w:rsid w:val="003D5C0F"/>
    <w:rsid w:val="003D6380"/>
    <w:rsid w:val="003D6825"/>
    <w:rsid w:val="003D7AF0"/>
    <w:rsid w:val="003D7EDC"/>
    <w:rsid w:val="003E051E"/>
    <w:rsid w:val="003E08CC"/>
    <w:rsid w:val="003E0C15"/>
    <w:rsid w:val="003E0D12"/>
    <w:rsid w:val="003E0FCF"/>
    <w:rsid w:val="003E1898"/>
    <w:rsid w:val="003E211F"/>
    <w:rsid w:val="003E2B30"/>
    <w:rsid w:val="003E4570"/>
    <w:rsid w:val="003E4974"/>
    <w:rsid w:val="003E4FE6"/>
    <w:rsid w:val="003E559D"/>
    <w:rsid w:val="003E5FA7"/>
    <w:rsid w:val="003E64A3"/>
    <w:rsid w:val="003E6FF8"/>
    <w:rsid w:val="003E758E"/>
    <w:rsid w:val="003F032D"/>
    <w:rsid w:val="003F04CB"/>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978"/>
    <w:rsid w:val="004009A7"/>
    <w:rsid w:val="00400C30"/>
    <w:rsid w:val="004013FF"/>
    <w:rsid w:val="004022DB"/>
    <w:rsid w:val="004030F1"/>
    <w:rsid w:val="004033E0"/>
    <w:rsid w:val="004034B1"/>
    <w:rsid w:val="00403D9F"/>
    <w:rsid w:val="00404104"/>
    <w:rsid w:val="004046A7"/>
    <w:rsid w:val="0040471B"/>
    <w:rsid w:val="00404EFB"/>
    <w:rsid w:val="004053E4"/>
    <w:rsid w:val="00405A02"/>
    <w:rsid w:val="00406A37"/>
    <w:rsid w:val="00406A6B"/>
    <w:rsid w:val="00406E79"/>
    <w:rsid w:val="0040762A"/>
    <w:rsid w:val="00407CC5"/>
    <w:rsid w:val="0041147C"/>
    <w:rsid w:val="00411677"/>
    <w:rsid w:val="00413B98"/>
    <w:rsid w:val="00414382"/>
    <w:rsid w:val="00414D64"/>
    <w:rsid w:val="004150F5"/>
    <w:rsid w:val="00415377"/>
    <w:rsid w:val="00416ADD"/>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3C80"/>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291"/>
    <w:rsid w:val="0044594C"/>
    <w:rsid w:val="00445CA4"/>
    <w:rsid w:val="00445FF7"/>
    <w:rsid w:val="00446985"/>
    <w:rsid w:val="00446C4B"/>
    <w:rsid w:val="0044700B"/>
    <w:rsid w:val="004471AF"/>
    <w:rsid w:val="00447371"/>
    <w:rsid w:val="0044761A"/>
    <w:rsid w:val="00447D98"/>
    <w:rsid w:val="004513DB"/>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01CD"/>
    <w:rsid w:val="004611AE"/>
    <w:rsid w:val="00461210"/>
    <w:rsid w:val="00461BB8"/>
    <w:rsid w:val="00462342"/>
    <w:rsid w:val="00462BBA"/>
    <w:rsid w:val="00463047"/>
    <w:rsid w:val="00463288"/>
    <w:rsid w:val="00463352"/>
    <w:rsid w:val="004636DA"/>
    <w:rsid w:val="00463734"/>
    <w:rsid w:val="004639A9"/>
    <w:rsid w:val="0046440E"/>
    <w:rsid w:val="004647CA"/>
    <w:rsid w:val="004648C4"/>
    <w:rsid w:val="00464C8F"/>
    <w:rsid w:val="00464E02"/>
    <w:rsid w:val="004656FD"/>
    <w:rsid w:val="00466730"/>
    <w:rsid w:val="004667C9"/>
    <w:rsid w:val="004677CC"/>
    <w:rsid w:val="00467A3D"/>
    <w:rsid w:val="004701D9"/>
    <w:rsid w:val="004710E6"/>
    <w:rsid w:val="00471A07"/>
    <w:rsid w:val="00473924"/>
    <w:rsid w:val="00474255"/>
    <w:rsid w:val="00475688"/>
    <w:rsid w:val="004756C6"/>
    <w:rsid w:val="00475F8F"/>
    <w:rsid w:val="00476991"/>
    <w:rsid w:val="004772E9"/>
    <w:rsid w:val="004775BA"/>
    <w:rsid w:val="00477A44"/>
    <w:rsid w:val="00477FEB"/>
    <w:rsid w:val="0048041A"/>
    <w:rsid w:val="0048084F"/>
    <w:rsid w:val="00480C33"/>
    <w:rsid w:val="00480C41"/>
    <w:rsid w:val="00481019"/>
    <w:rsid w:val="00481AA4"/>
    <w:rsid w:val="004830A2"/>
    <w:rsid w:val="00483261"/>
    <w:rsid w:val="0048336C"/>
    <w:rsid w:val="00483B04"/>
    <w:rsid w:val="00483F69"/>
    <w:rsid w:val="004845F8"/>
    <w:rsid w:val="00486A27"/>
    <w:rsid w:val="00486BFC"/>
    <w:rsid w:val="00487495"/>
    <w:rsid w:val="00490A2B"/>
    <w:rsid w:val="00490B88"/>
    <w:rsid w:val="0049133D"/>
    <w:rsid w:val="00491695"/>
    <w:rsid w:val="004918A2"/>
    <w:rsid w:val="00492CF8"/>
    <w:rsid w:val="00493771"/>
    <w:rsid w:val="00493F45"/>
    <w:rsid w:val="00494461"/>
    <w:rsid w:val="004948FD"/>
    <w:rsid w:val="004957E1"/>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CA"/>
    <w:rsid w:val="004B18F6"/>
    <w:rsid w:val="004B1A8D"/>
    <w:rsid w:val="004B1A98"/>
    <w:rsid w:val="004B36B5"/>
    <w:rsid w:val="004B3D07"/>
    <w:rsid w:val="004B4F03"/>
    <w:rsid w:val="004B4FCD"/>
    <w:rsid w:val="004B5805"/>
    <w:rsid w:val="004B592A"/>
    <w:rsid w:val="004B5AB0"/>
    <w:rsid w:val="004B5FFF"/>
    <w:rsid w:val="004B64CE"/>
    <w:rsid w:val="004B6902"/>
    <w:rsid w:val="004B6EDF"/>
    <w:rsid w:val="004B73B0"/>
    <w:rsid w:val="004B74FF"/>
    <w:rsid w:val="004B7944"/>
    <w:rsid w:val="004B7AC9"/>
    <w:rsid w:val="004B7BB8"/>
    <w:rsid w:val="004C0125"/>
    <w:rsid w:val="004C079A"/>
    <w:rsid w:val="004C0AAD"/>
    <w:rsid w:val="004C0F44"/>
    <w:rsid w:val="004C1465"/>
    <w:rsid w:val="004C14D0"/>
    <w:rsid w:val="004C182F"/>
    <w:rsid w:val="004C211D"/>
    <w:rsid w:val="004C2137"/>
    <w:rsid w:val="004C34FA"/>
    <w:rsid w:val="004C4301"/>
    <w:rsid w:val="004C600F"/>
    <w:rsid w:val="004C61B9"/>
    <w:rsid w:val="004C6867"/>
    <w:rsid w:val="004C737B"/>
    <w:rsid w:val="004C795A"/>
    <w:rsid w:val="004D044A"/>
    <w:rsid w:val="004D1915"/>
    <w:rsid w:val="004D1D08"/>
    <w:rsid w:val="004D23CF"/>
    <w:rsid w:val="004D29C0"/>
    <w:rsid w:val="004D2EE0"/>
    <w:rsid w:val="004D3374"/>
    <w:rsid w:val="004D35BA"/>
    <w:rsid w:val="004D3FA6"/>
    <w:rsid w:val="004D4614"/>
    <w:rsid w:val="004D4A5E"/>
    <w:rsid w:val="004D5567"/>
    <w:rsid w:val="004D5D00"/>
    <w:rsid w:val="004D6436"/>
    <w:rsid w:val="004D6F5A"/>
    <w:rsid w:val="004D744F"/>
    <w:rsid w:val="004D7B89"/>
    <w:rsid w:val="004D7C7D"/>
    <w:rsid w:val="004D7E05"/>
    <w:rsid w:val="004E0132"/>
    <w:rsid w:val="004E07BB"/>
    <w:rsid w:val="004E0F2A"/>
    <w:rsid w:val="004E1230"/>
    <w:rsid w:val="004E1B3E"/>
    <w:rsid w:val="004E1D09"/>
    <w:rsid w:val="004E27A5"/>
    <w:rsid w:val="004E32F4"/>
    <w:rsid w:val="004E4FAA"/>
    <w:rsid w:val="004E546B"/>
    <w:rsid w:val="004E604B"/>
    <w:rsid w:val="004E6579"/>
    <w:rsid w:val="004E672C"/>
    <w:rsid w:val="004E6F16"/>
    <w:rsid w:val="004F02D8"/>
    <w:rsid w:val="004F0DB4"/>
    <w:rsid w:val="004F1321"/>
    <w:rsid w:val="004F1A95"/>
    <w:rsid w:val="004F2ADF"/>
    <w:rsid w:val="004F2EAA"/>
    <w:rsid w:val="004F3489"/>
    <w:rsid w:val="004F47DD"/>
    <w:rsid w:val="004F4ED7"/>
    <w:rsid w:val="004F53B8"/>
    <w:rsid w:val="004F5835"/>
    <w:rsid w:val="004F5B88"/>
    <w:rsid w:val="004F63B5"/>
    <w:rsid w:val="004F64EC"/>
    <w:rsid w:val="004F72FD"/>
    <w:rsid w:val="004F76E2"/>
    <w:rsid w:val="004F7890"/>
    <w:rsid w:val="005013C3"/>
    <w:rsid w:val="005024FF"/>
    <w:rsid w:val="00503196"/>
    <w:rsid w:val="005032CB"/>
    <w:rsid w:val="00503BB1"/>
    <w:rsid w:val="00503EDB"/>
    <w:rsid w:val="005048AB"/>
    <w:rsid w:val="00504CCA"/>
    <w:rsid w:val="00505646"/>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5753"/>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07EE"/>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472"/>
    <w:rsid w:val="00580536"/>
    <w:rsid w:val="00580926"/>
    <w:rsid w:val="00581285"/>
    <w:rsid w:val="005819FA"/>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77C"/>
    <w:rsid w:val="0059694C"/>
    <w:rsid w:val="00596A67"/>
    <w:rsid w:val="00597466"/>
    <w:rsid w:val="005977CC"/>
    <w:rsid w:val="00597A10"/>
    <w:rsid w:val="005A0660"/>
    <w:rsid w:val="005A0683"/>
    <w:rsid w:val="005A138C"/>
    <w:rsid w:val="005A1CB8"/>
    <w:rsid w:val="005A1D91"/>
    <w:rsid w:val="005A28F8"/>
    <w:rsid w:val="005A2E71"/>
    <w:rsid w:val="005A3AC9"/>
    <w:rsid w:val="005A3CA1"/>
    <w:rsid w:val="005A3ECE"/>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A78"/>
    <w:rsid w:val="005B4F13"/>
    <w:rsid w:val="005B5BAF"/>
    <w:rsid w:val="005B5DBE"/>
    <w:rsid w:val="005B6590"/>
    <w:rsid w:val="005B77FD"/>
    <w:rsid w:val="005B7A42"/>
    <w:rsid w:val="005B7F33"/>
    <w:rsid w:val="005C03BF"/>
    <w:rsid w:val="005C0FF1"/>
    <w:rsid w:val="005C1550"/>
    <w:rsid w:val="005C1976"/>
    <w:rsid w:val="005C1E7B"/>
    <w:rsid w:val="005C2EA3"/>
    <w:rsid w:val="005C351F"/>
    <w:rsid w:val="005C369E"/>
    <w:rsid w:val="005C3760"/>
    <w:rsid w:val="005C4665"/>
    <w:rsid w:val="005C502F"/>
    <w:rsid w:val="005C5830"/>
    <w:rsid w:val="005C5A64"/>
    <w:rsid w:val="005C5ED7"/>
    <w:rsid w:val="005C6A95"/>
    <w:rsid w:val="005C6E40"/>
    <w:rsid w:val="005C7108"/>
    <w:rsid w:val="005C748C"/>
    <w:rsid w:val="005C75AA"/>
    <w:rsid w:val="005C78D5"/>
    <w:rsid w:val="005D0100"/>
    <w:rsid w:val="005D0890"/>
    <w:rsid w:val="005D0AF7"/>
    <w:rsid w:val="005D10BA"/>
    <w:rsid w:val="005D1447"/>
    <w:rsid w:val="005D22A1"/>
    <w:rsid w:val="005D353F"/>
    <w:rsid w:val="005D36FD"/>
    <w:rsid w:val="005D3B3E"/>
    <w:rsid w:val="005D46B4"/>
    <w:rsid w:val="005D4892"/>
    <w:rsid w:val="005D562B"/>
    <w:rsid w:val="005D62A1"/>
    <w:rsid w:val="005D6AE3"/>
    <w:rsid w:val="005D6FFA"/>
    <w:rsid w:val="005D76BF"/>
    <w:rsid w:val="005D795F"/>
    <w:rsid w:val="005D7C14"/>
    <w:rsid w:val="005E01EC"/>
    <w:rsid w:val="005E0263"/>
    <w:rsid w:val="005E0B41"/>
    <w:rsid w:val="005E1016"/>
    <w:rsid w:val="005E11E4"/>
    <w:rsid w:val="005E1523"/>
    <w:rsid w:val="005E1DAD"/>
    <w:rsid w:val="005E23F1"/>
    <w:rsid w:val="005E2914"/>
    <w:rsid w:val="005E377D"/>
    <w:rsid w:val="005E38B2"/>
    <w:rsid w:val="005E4A8D"/>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800"/>
    <w:rsid w:val="00601914"/>
    <w:rsid w:val="00601C8F"/>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2E9E"/>
    <w:rsid w:val="00613237"/>
    <w:rsid w:val="006132CD"/>
    <w:rsid w:val="00613363"/>
    <w:rsid w:val="00614ADB"/>
    <w:rsid w:val="00614CD1"/>
    <w:rsid w:val="00615533"/>
    <w:rsid w:val="00616260"/>
    <w:rsid w:val="006169A4"/>
    <w:rsid w:val="00617A21"/>
    <w:rsid w:val="00617E64"/>
    <w:rsid w:val="00617F8F"/>
    <w:rsid w:val="006200B4"/>
    <w:rsid w:val="006200BD"/>
    <w:rsid w:val="0062021A"/>
    <w:rsid w:val="006202B1"/>
    <w:rsid w:val="0062164D"/>
    <w:rsid w:val="00621770"/>
    <w:rsid w:val="006218C7"/>
    <w:rsid w:val="0062215F"/>
    <w:rsid w:val="00622702"/>
    <w:rsid w:val="0062286A"/>
    <w:rsid w:val="006235FC"/>
    <w:rsid w:val="00626463"/>
    <w:rsid w:val="006265DD"/>
    <w:rsid w:val="00627240"/>
    <w:rsid w:val="0062769B"/>
    <w:rsid w:val="00627E79"/>
    <w:rsid w:val="00630123"/>
    <w:rsid w:val="0063015D"/>
    <w:rsid w:val="006302A2"/>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1818"/>
    <w:rsid w:val="00641DAC"/>
    <w:rsid w:val="0064247A"/>
    <w:rsid w:val="00642788"/>
    <w:rsid w:val="00642E9E"/>
    <w:rsid w:val="0064370E"/>
    <w:rsid w:val="0064380B"/>
    <w:rsid w:val="00643C2F"/>
    <w:rsid w:val="00644278"/>
    <w:rsid w:val="00644625"/>
    <w:rsid w:val="00644C01"/>
    <w:rsid w:val="00644DA6"/>
    <w:rsid w:val="0064514C"/>
    <w:rsid w:val="00645B56"/>
    <w:rsid w:val="00646C13"/>
    <w:rsid w:val="00647276"/>
    <w:rsid w:val="00647454"/>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592"/>
    <w:rsid w:val="0066174C"/>
    <w:rsid w:val="006625C1"/>
    <w:rsid w:val="006627E7"/>
    <w:rsid w:val="00662C69"/>
    <w:rsid w:val="006635FD"/>
    <w:rsid w:val="0066444F"/>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243"/>
    <w:rsid w:val="00675544"/>
    <w:rsid w:val="00675D57"/>
    <w:rsid w:val="00675E39"/>
    <w:rsid w:val="006764F7"/>
    <w:rsid w:val="00676527"/>
    <w:rsid w:val="006765C1"/>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4D3"/>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6270"/>
    <w:rsid w:val="006A6E3A"/>
    <w:rsid w:val="006A7854"/>
    <w:rsid w:val="006A7FDB"/>
    <w:rsid w:val="006B04B6"/>
    <w:rsid w:val="006B0634"/>
    <w:rsid w:val="006B0FBE"/>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148"/>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39FC"/>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0063"/>
    <w:rsid w:val="0070131F"/>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5C02"/>
    <w:rsid w:val="0070610B"/>
    <w:rsid w:val="00707818"/>
    <w:rsid w:val="00710034"/>
    <w:rsid w:val="0071077E"/>
    <w:rsid w:val="00710DE8"/>
    <w:rsid w:val="00710FA3"/>
    <w:rsid w:val="00711B8B"/>
    <w:rsid w:val="00711E13"/>
    <w:rsid w:val="00712636"/>
    <w:rsid w:val="00712EDA"/>
    <w:rsid w:val="00713004"/>
    <w:rsid w:val="007137E6"/>
    <w:rsid w:val="00714245"/>
    <w:rsid w:val="0071483F"/>
    <w:rsid w:val="00714FE6"/>
    <w:rsid w:val="0071617D"/>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56E"/>
    <w:rsid w:val="00724849"/>
    <w:rsid w:val="00724E8B"/>
    <w:rsid w:val="007253FE"/>
    <w:rsid w:val="00725535"/>
    <w:rsid w:val="00726344"/>
    <w:rsid w:val="00726439"/>
    <w:rsid w:val="00727B9C"/>
    <w:rsid w:val="00727DF5"/>
    <w:rsid w:val="00727FA5"/>
    <w:rsid w:val="00731F3E"/>
    <w:rsid w:val="00733392"/>
    <w:rsid w:val="0073413F"/>
    <w:rsid w:val="007363C3"/>
    <w:rsid w:val="00737189"/>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16F"/>
    <w:rsid w:val="007543B0"/>
    <w:rsid w:val="0075523D"/>
    <w:rsid w:val="00755481"/>
    <w:rsid w:val="007554A6"/>
    <w:rsid w:val="00755950"/>
    <w:rsid w:val="00755DAB"/>
    <w:rsid w:val="0075622E"/>
    <w:rsid w:val="007562D9"/>
    <w:rsid w:val="00756515"/>
    <w:rsid w:val="0075651C"/>
    <w:rsid w:val="00756832"/>
    <w:rsid w:val="00756CFC"/>
    <w:rsid w:val="00757001"/>
    <w:rsid w:val="0075721B"/>
    <w:rsid w:val="0076110B"/>
    <w:rsid w:val="00764DD1"/>
    <w:rsid w:val="007651BB"/>
    <w:rsid w:val="007656A4"/>
    <w:rsid w:val="0076613D"/>
    <w:rsid w:val="00770162"/>
    <w:rsid w:val="007712CE"/>
    <w:rsid w:val="00771F4C"/>
    <w:rsid w:val="00771F96"/>
    <w:rsid w:val="0077214D"/>
    <w:rsid w:val="00772159"/>
    <w:rsid w:val="00772572"/>
    <w:rsid w:val="00772D32"/>
    <w:rsid w:val="00773769"/>
    <w:rsid w:val="00773B05"/>
    <w:rsid w:val="00773E0B"/>
    <w:rsid w:val="00774653"/>
    <w:rsid w:val="00774752"/>
    <w:rsid w:val="0077495D"/>
    <w:rsid w:val="007749BC"/>
    <w:rsid w:val="0077548E"/>
    <w:rsid w:val="00775F29"/>
    <w:rsid w:val="00776DC1"/>
    <w:rsid w:val="00777A70"/>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4D8E"/>
    <w:rsid w:val="007B5C53"/>
    <w:rsid w:val="007B5EBB"/>
    <w:rsid w:val="007B626E"/>
    <w:rsid w:val="007B6300"/>
    <w:rsid w:val="007B6473"/>
    <w:rsid w:val="007B6539"/>
    <w:rsid w:val="007B66B4"/>
    <w:rsid w:val="007B68D6"/>
    <w:rsid w:val="007B6B93"/>
    <w:rsid w:val="007B7235"/>
    <w:rsid w:val="007B7496"/>
    <w:rsid w:val="007B7F1D"/>
    <w:rsid w:val="007C162B"/>
    <w:rsid w:val="007C1B36"/>
    <w:rsid w:val="007C2235"/>
    <w:rsid w:val="007C2739"/>
    <w:rsid w:val="007C2D4C"/>
    <w:rsid w:val="007C3162"/>
    <w:rsid w:val="007C3550"/>
    <w:rsid w:val="007C37F1"/>
    <w:rsid w:val="007C421B"/>
    <w:rsid w:val="007C49A1"/>
    <w:rsid w:val="007C49E1"/>
    <w:rsid w:val="007C4F84"/>
    <w:rsid w:val="007C5435"/>
    <w:rsid w:val="007C5B54"/>
    <w:rsid w:val="007C6560"/>
    <w:rsid w:val="007C6857"/>
    <w:rsid w:val="007C692A"/>
    <w:rsid w:val="007C6B91"/>
    <w:rsid w:val="007C7013"/>
    <w:rsid w:val="007D0C44"/>
    <w:rsid w:val="007D0D6C"/>
    <w:rsid w:val="007D20AB"/>
    <w:rsid w:val="007D26E0"/>
    <w:rsid w:val="007D2AA0"/>
    <w:rsid w:val="007D3A69"/>
    <w:rsid w:val="007D3B6C"/>
    <w:rsid w:val="007D51B4"/>
    <w:rsid w:val="007D536F"/>
    <w:rsid w:val="007D5603"/>
    <w:rsid w:val="007D59DB"/>
    <w:rsid w:val="007D5B05"/>
    <w:rsid w:val="007D5D3E"/>
    <w:rsid w:val="007D689B"/>
    <w:rsid w:val="007D711D"/>
    <w:rsid w:val="007D7ABB"/>
    <w:rsid w:val="007E09EE"/>
    <w:rsid w:val="007E149C"/>
    <w:rsid w:val="007E2344"/>
    <w:rsid w:val="007E30DA"/>
    <w:rsid w:val="007E30E8"/>
    <w:rsid w:val="007E4F09"/>
    <w:rsid w:val="007E5401"/>
    <w:rsid w:val="007E5CFD"/>
    <w:rsid w:val="007E6002"/>
    <w:rsid w:val="007E6603"/>
    <w:rsid w:val="007E7692"/>
    <w:rsid w:val="007F0715"/>
    <w:rsid w:val="007F1727"/>
    <w:rsid w:val="007F1937"/>
    <w:rsid w:val="007F1AA9"/>
    <w:rsid w:val="007F1C35"/>
    <w:rsid w:val="007F20E9"/>
    <w:rsid w:val="007F2EE9"/>
    <w:rsid w:val="007F4237"/>
    <w:rsid w:val="007F4E8A"/>
    <w:rsid w:val="007F52BB"/>
    <w:rsid w:val="007F6D58"/>
    <w:rsid w:val="007F7441"/>
    <w:rsid w:val="007F77A2"/>
    <w:rsid w:val="007F7852"/>
    <w:rsid w:val="00800257"/>
    <w:rsid w:val="008009CB"/>
    <w:rsid w:val="0080153E"/>
    <w:rsid w:val="00802240"/>
    <w:rsid w:val="008027A8"/>
    <w:rsid w:val="00802AEC"/>
    <w:rsid w:val="00802DD2"/>
    <w:rsid w:val="00802DDF"/>
    <w:rsid w:val="00803190"/>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64C"/>
    <w:rsid w:val="008109C9"/>
    <w:rsid w:val="00810FAD"/>
    <w:rsid w:val="00811111"/>
    <w:rsid w:val="008115CC"/>
    <w:rsid w:val="00811848"/>
    <w:rsid w:val="00811884"/>
    <w:rsid w:val="00811C42"/>
    <w:rsid w:val="00814079"/>
    <w:rsid w:val="008149BD"/>
    <w:rsid w:val="00814A98"/>
    <w:rsid w:val="00815692"/>
    <w:rsid w:val="008167B3"/>
    <w:rsid w:val="0081708E"/>
    <w:rsid w:val="00817D78"/>
    <w:rsid w:val="00817F48"/>
    <w:rsid w:val="008207F1"/>
    <w:rsid w:val="00820E78"/>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85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5C04"/>
    <w:rsid w:val="00836ABB"/>
    <w:rsid w:val="00836B87"/>
    <w:rsid w:val="00836F58"/>
    <w:rsid w:val="00837011"/>
    <w:rsid w:val="0084175F"/>
    <w:rsid w:val="00841815"/>
    <w:rsid w:val="008422B0"/>
    <w:rsid w:val="00842435"/>
    <w:rsid w:val="00842AEF"/>
    <w:rsid w:val="00843B17"/>
    <w:rsid w:val="00843F2D"/>
    <w:rsid w:val="0084419C"/>
    <w:rsid w:val="008442C0"/>
    <w:rsid w:val="0084449F"/>
    <w:rsid w:val="00844DB9"/>
    <w:rsid w:val="00845F05"/>
    <w:rsid w:val="00846EC1"/>
    <w:rsid w:val="00847204"/>
    <w:rsid w:val="00847946"/>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570E3"/>
    <w:rsid w:val="00860787"/>
    <w:rsid w:val="00860986"/>
    <w:rsid w:val="00860B57"/>
    <w:rsid w:val="008613FA"/>
    <w:rsid w:val="00861419"/>
    <w:rsid w:val="00861B3E"/>
    <w:rsid w:val="00862239"/>
    <w:rsid w:val="008627A9"/>
    <w:rsid w:val="00862CF7"/>
    <w:rsid w:val="00863361"/>
    <w:rsid w:val="00863C49"/>
    <w:rsid w:val="0086409B"/>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672"/>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2B20"/>
    <w:rsid w:val="008A3596"/>
    <w:rsid w:val="008A3907"/>
    <w:rsid w:val="008A3CC9"/>
    <w:rsid w:val="008A448B"/>
    <w:rsid w:val="008A4A39"/>
    <w:rsid w:val="008A4BE7"/>
    <w:rsid w:val="008A6920"/>
    <w:rsid w:val="008B02EC"/>
    <w:rsid w:val="008B042F"/>
    <w:rsid w:val="008B06B4"/>
    <w:rsid w:val="008B0A66"/>
    <w:rsid w:val="008B0F94"/>
    <w:rsid w:val="008B2555"/>
    <w:rsid w:val="008B26FB"/>
    <w:rsid w:val="008B2933"/>
    <w:rsid w:val="008B29DB"/>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0D"/>
    <w:rsid w:val="008D0DAD"/>
    <w:rsid w:val="008D1338"/>
    <w:rsid w:val="008D1BF1"/>
    <w:rsid w:val="008D1CB3"/>
    <w:rsid w:val="008D231F"/>
    <w:rsid w:val="008D267A"/>
    <w:rsid w:val="008D33D5"/>
    <w:rsid w:val="008D39F4"/>
    <w:rsid w:val="008D40FE"/>
    <w:rsid w:val="008D4565"/>
    <w:rsid w:val="008D4FB9"/>
    <w:rsid w:val="008D5331"/>
    <w:rsid w:val="008D5CFB"/>
    <w:rsid w:val="008D6686"/>
    <w:rsid w:val="008D6DB2"/>
    <w:rsid w:val="008D702D"/>
    <w:rsid w:val="008D73C7"/>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6F87"/>
    <w:rsid w:val="008E75C0"/>
    <w:rsid w:val="008F0075"/>
    <w:rsid w:val="008F13E9"/>
    <w:rsid w:val="008F1678"/>
    <w:rsid w:val="008F1ADD"/>
    <w:rsid w:val="008F2B28"/>
    <w:rsid w:val="008F4419"/>
    <w:rsid w:val="008F4454"/>
    <w:rsid w:val="008F529C"/>
    <w:rsid w:val="008F52A9"/>
    <w:rsid w:val="008F6934"/>
    <w:rsid w:val="008F69D1"/>
    <w:rsid w:val="008F7BBB"/>
    <w:rsid w:val="008F7F5E"/>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0417"/>
    <w:rsid w:val="0091294E"/>
    <w:rsid w:val="00912AA6"/>
    <w:rsid w:val="009132E6"/>
    <w:rsid w:val="009137B4"/>
    <w:rsid w:val="00913834"/>
    <w:rsid w:val="00914594"/>
    <w:rsid w:val="00914C32"/>
    <w:rsid w:val="009152E9"/>
    <w:rsid w:val="00915703"/>
    <w:rsid w:val="00915875"/>
    <w:rsid w:val="00915B81"/>
    <w:rsid w:val="00915E48"/>
    <w:rsid w:val="00916157"/>
    <w:rsid w:val="00916A8C"/>
    <w:rsid w:val="00917193"/>
    <w:rsid w:val="009178AE"/>
    <w:rsid w:val="00920223"/>
    <w:rsid w:val="009206A4"/>
    <w:rsid w:val="00920F64"/>
    <w:rsid w:val="009211DD"/>
    <w:rsid w:val="009225F6"/>
    <w:rsid w:val="009233A9"/>
    <w:rsid w:val="009233FB"/>
    <w:rsid w:val="009237FA"/>
    <w:rsid w:val="009238B7"/>
    <w:rsid w:val="009239F4"/>
    <w:rsid w:val="0092427E"/>
    <w:rsid w:val="00924567"/>
    <w:rsid w:val="00924C59"/>
    <w:rsid w:val="00925945"/>
    <w:rsid w:val="00925A4D"/>
    <w:rsid w:val="00925BC6"/>
    <w:rsid w:val="00926B9C"/>
    <w:rsid w:val="00926E58"/>
    <w:rsid w:val="0092751E"/>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B32"/>
    <w:rsid w:val="00936C50"/>
    <w:rsid w:val="009371CE"/>
    <w:rsid w:val="00937910"/>
    <w:rsid w:val="0094007F"/>
    <w:rsid w:val="009412A4"/>
    <w:rsid w:val="00941435"/>
    <w:rsid w:val="00941720"/>
    <w:rsid w:val="00941D0D"/>
    <w:rsid w:val="009421FD"/>
    <w:rsid w:val="009426A7"/>
    <w:rsid w:val="009457D9"/>
    <w:rsid w:val="00945CE3"/>
    <w:rsid w:val="00945D49"/>
    <w:rsid w:val="00945F89"/>
    <w:rsid w:val="00946D8C"/>
    <w:rsid w:val="009472C4"/>
    <w:rsid w:val="0094732C"/>
    <w:rsid w:val="00947472"/>
    <w:rsid w:val="00947A4B"/>
    <w:rsid w:val="00947FD0"/>
    <w:rsid w:val="00950775"/>
    <w:rsid w:val="00950A51"/>
    <w:rsid w:val="00950EE2"/>
    <w:rsid w:val="00951A5E"/>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668C"/>
    <w:rsid w:val="00966BF4"/>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6B7A"/>
    <w:rsid w:val="00977370"/>
    <w:rsid w:val="009779AE"/>
    <w:rsid w:val="00977D00"/>
    <w:rsid w:val="00980150"/>
    <w:rsid w:val="00981F78"/>
    <w:rsid w:val="00982110"/>
    <w:rsid w:val="009832A8"/>
    <w:rsid w:val="009836B9"/>
    <w:rsid w:val="009838AB"/>
    <w:rsid w:val="009847B3"/>
    <w:rsid w:val="00984829"/>
    <w:rsid w:val="009849B0"/>
    <w:rsid w:val="009849E8"/>
    <w:rsid w:val="00984E2D"/>
    <w:rsid w:val="00984F5F"/>
    <w:rsid w:val="009854E3"/>
    <w:rsid w:val="009856C7"/>
    <w:rsid w:val="009858B5"/>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4A94"/>
    <w:rsid w:val="009957BE"/>
    <w:rsid w:val="00995CF9"/>
    <w:rsid w:val="00995E19"/>
    <w:rsid w:val="00995FB8"/>
    <w:rsid w:val="0099744D"/>
    <w:rsid w:val="00997D81"/>
    <w:rsid w:val="009A0013"/>
    <w:rsid w:val="009A01B0"/>
    <w:rsid w:val="009A0D0C"/>
    <w:rsid w:val="009A0DB0"/>
    <w:rsid w:val="009A2836"/>
    <w:rsid w:val="009A3AD3"/>
    <w:rsid w:val="009A3FBF"/>
    <w:rsid w:val="009A4271"/>
    <w:rsid w:val="009A42FE"/>
    <w:rsid w:val="009A47F9"/>
    <w:rsid w:val="009A6416"/>
    <w:rsid w:val="009A6C80"/>
    <w:rsid w:val="009A6E4A"/>
    <w:rsid w:val="009B0222"/>
    <w:rsid w:val="009B0667"/>
    <w:rsid w:val="009B0D60"/>
    <w:rsid w:val="009B13B3"/>
    <w:rsid w:val="009B15BA"/>
    <w:rsid w:val="009B2475"/>
    <w:rsid w:val="009B2799"/>
    <w:rsid w:val="009B3FD9"/>
    <w:rsid w:val="009B4402"/>
    <w:rsid w:val="009B54D7"/>
    <w:rsid w:val="009B5510"/>
    <w:rsid w:val="009B5530"/>
    <w:rsid w:val="009B6E5E"/>
    <w:rsid w:val="009C02E7"/>
    <w:rsid w:val="009C0A6A"/>
    <w:rsid w:val="009C0E50"/>
    <w:rsid w:val="009C1262"/>
    <w:rsid w:val="009C1BFC"/>
    <w:rsid w:val="009C1E8C"/>
    <w:rsid w:val="009C213E"/>
    <w:rsid w:val="009C29B1"/>
    <w:rsid w:val="009C2C06"/>
    <w:rsid w:val="009C2D5D"/>
    <w:rsid w:val="009C2DD2"/>
    <w:rsid w:val="009C31CF"/>
    <w:rsid w:val="009C3D52"/>
    <w:rsid w:val="009C46E7"/>
    <w:rsid w:val="009C51D5"/>
    <w:rsid w:val="009C56FA"/>
    <w:rsid w:val="009C7119"/>
    <w:rsid w:val="009C760A"/>
    <w:rsid w:val="009C7E2C"/>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09F3"/>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84C"/>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72D"/>
    <w:rsid w:val="00A00F75"/>
    <w:rsid w:val="00A01931"/>
    <w:rsid w:val="00A01F46"/>
    <w:rsid w:val="00A02274"/>
    <w:rsid w:val="00A02837"/>
    <w:rsid w:val="00A036BA"/>
    <w:rsid w:val="00A04012"/>
    <w:rsid w:val="00A040AC"/>
    <w:rsid w:val="00A047CF"/>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3E7"/>
    <w:rsid w:val="00A36968"/>
    <w:rsid w:val="00A36D01"/>
    <w:rsid w:val="00A37145"/>
    <w:rsid w:val="00A3752B"/>
    <w:rsid w:val="00A37F68"/>
    <w:rsid w:val="00A40439"/>
    <w:rsid w:val="00A406EB"/>
    <w:rsid w:val="00A40CD6"/>
    <w:rsid w:val="00A40DFB"/>
    <w:rsid w:val="00A4110D"/>
    <w:rsid w:val="00A41D90"/>
    <w:rsid w:val="00A41E93"/>
    <w:rsid w:val="00A4280F"/>
    <w:rsid w:val="00A42A77"/>
    <w:rsid w:val="00A42D40"/>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DF6"/>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2391"/>
    <w:rsid w:val="00A63472"/>
    <w:rsid w:val="00A63978"/>
    <w:rsid w:val="00A63B8B"/>
    <w:rsid w:val="00A648A3"/>
    <w:rsid w:val="00A65CD4"/>
    <w:rsid w:val="00A662EC"/>
    <w:rsid w:val="00A66510"/>
    <w:rsid w:val="00A67187"/>
    <w:rsid w:val="00A678E3"/>
    <w:rsid w:val="00A67EC3"/>
    <w:rsid w:val="00A67FBD"/>
    <w:rsid w:val="00A70307"/>
    <w:rsid w:val="00A710D4"/>
    <w:rsid w:val="00A7369A"/>
    <w:rsid w:val="00A739B2"/>
    <w:rsid w:val="00A74499"/>
    <w:rsid w:val="00A75457"/>
    <w:rsid w:val="00A755DE"/>
    <w:rsid w:val="00A760A3"/>
    <w:rsid w:val="00A768E6"/>
    <w:rsid w:val="00A76A6A"/>
    <w:rsid w:val="00A77907"/>
    <w:rsid w:val="00A80049"/>
    <w:rsid w:val="00A8046C"/>
    <w:rsid w:val="00A808E7"/>
    <w:rsid w:val="00A81D06"/>
    <w:rsid w:val="00A82068"/>
    <w:rsid w:val="00A825FD"/>
    <w:rsid w:val="00A83337"/>
    <w:rsid w:val="00A83F92"/>
    <w:rsid w:val="00A85097"/>
    <w:rsid w:val="00A853AE"/>
    <w:rsid w:val="00A85FA4"/>
    <w:rsid w:val="00A86633"/>
    <w:rsid w:val="00A8687F"/>
    <w:rsid w:val="00A87182"/>
    <w:rsid w:val="00A87C86"/>
    <w:rsid w:val="00A904A1"/>
    <w:rsid w:val="00A906A1"/>
    <w:rsid w:val="00A90AB1"/>
    <w:rsid w:val="00A90ACC"/>
    <w:rsid w:val="00A90B75"/>
    <w:rsid w:val="00A90BE1"/>
    <w:rsid w:val="00A90E9F"/>
    <w:rsid w:val="00A918E6"/>
    <w:rsid w:val="00A920A9"/>
    <w:rsid w:val="00A938E6"/>
    <w:rsid w:val="00A93B69"/>
    <w:rsid w:val="00A93EA5"/>
    <w:rsid w:val="00A93FE5"/>
    <w:rsid w:val="00A943B4"/>
    <w:rsid w:val="00A944B0"/>
    <w:rsid w:val="00A94EAC"/>
    <w:rsid w:val="00A9520A"/>
    <w:rsid w:val="00A95DE6"/>
    <w:rsid w:val="00A96553"/>
    <w:rsid w:val="00A969FC"/>
    <w:rsid w:val="00A96E25"/>
    <w:rsid w:val="00A9765F"/>
    <w:rsid w:val="00A9766F"/>
    <w:rsid w:val="00A97A54"/>
    <w:rsid w:val="00A97B0B"/>
    <w:rsid w:val="00AA0186"/>
    <w:rsid w:val="00AA088C"/>
    <w:rsid w:val="00AA0E02"/>
    <w:rsid w:val="00AA100F"/>
    <w:rsid w:val="00AA1802"/>
    <w:rsid w:val="00AA1EC5"/>
    <w:rsid w:val="00AA275D"/>
    <w:rsid w:val="00AA2FFD"/>
    <w:rsid w:val="00AA3058"/>
    <w:rsid w:val="00AA363D"/>
    <w:rsid w:val="00AA3CDB"/>
    <w:rsid w:val="00AA4A58"/>
    <w:rsid w:val="00AA5718"/>
    <w:rsid w:val="00AA5864"/>
    <w:rsid w:val="00AA5F58"/>
    <w:rsid w:val="00AA64C5"/>
    <w:rsid w:val="00AA713D"/>
    <w:rsid w:val="00AA713E"/>
    <w:rsid w:val="00AA7933"/>
    <w:rsid w:val="00AA7B4F"/>
    <w:rsid w:val="00AA7F60"/>
    <w:rsid w:val="00AB071F"/>
    <w:rsid w:val="00AB0B0A"/>
    <w:rsid w:val="00AB1FCC"/>
    <w:rsid w:val="00AB2409"/>
    <w:rsid w:val="00AB290F"/>
    <w:rsid w:val="00AB320D"/>
    <w:rsid w:val="00AB4409"/>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144C"/>
    <w:rsid w:val="00AD20CE"/>
    <w:rsid w:val="00AD226B"/>
    <w:rsid w:val="00AD3622"/>
    <w:rsid w:val="00AD3CAD"/>
    <w:rsid w:val="00AD5126"/>
    <w:rsid w:val="00AD53C3"/>
    <w:rsid w:val="00AD5422"/>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599"/>
    <w:rsid w:val="00AE4A5C"/>
    <w:rsid w:val="00AE4D65"/>
    <w:rsid w:val="00AE55D0"/>
    <w:rsid w:val="00AE62DA"/>
    <w:rsid w:val="00AE6310"/>
    <w:rsid w:val="00AE6C0F"/>
    <w:rsid w:val="00AE79C1"/>
    <w:rsid w:val="00AE7AD9"/>
    <w:rsid w:val="00AF039E"/>
    <w:rsid w:val="00AF1285"/>
    <w:rsid w:val="00AF169F"/>
    <w:rsid w:val="00AF2C24"/>
    <w:rsid w:val="00AF3E88"/>
    <w:rsid w:val="00AF43A8"/>
    <w:rsid w:val="00AF5C0F"/>
    <w:rsid w:val="00AF7CF9"/>
    <w:rsid w:val="00B0019B"/>
    <w:rsid w:val="00B0059B"/>
    <w:rsid w:val="00B007B6"/>
    <w:rsid w:val="00B00DF2"/>
    <w:rsid w:val="00B013AE"/>
    <w:rsid w:val="00B0191E"/>
    <w:rsid w:val="00B03208"/>
    <w:rsid w:val="00B03553"/>
    <w:rsid w:val="00B036A3"/>
    <w:rsid w:val="00B03707"/>
    <w:rsid w:val="00B03877"/>
    <w:rsid w:val="00B0389D"/>
    <w:rsid w:val="00B04E18"/>
    <w:rsid w:val="00B05740"/>
    <w:rsid w:val="00B05903"/>
    <w:rsid w:val="00B06A17"/>
    <w:rsid w:val="00B06ED6"/>
    <w:rsid w:val="00B0750B"/>
    <w:rsid w:val="00B076FF"/>
    <w:rsid w:val="00B0786A"/>
    <w:rsid w:val="00B07D0E"/>
    <w:rsid w:val="00B07E53"/>
    <w:rsid w:val="00B1067A"/>
    <w:rsid w:val="00B10C41"/>
    <w:rsid w:val="00B11350"/>
    <w:rsid w:val="00B115B4"/>
    <w:rsid w:val="00B12DF5"/>
    <w:rsid w:val="00B12F00"/>
    <w:rsid w:val="00B13BBA"/>
    <w:rsid w:val="00B13CF8"/>
    <w:rsid w:val="00B1513F"/>
    <w:rsid w:val="00B15201"/>
    <w:rsid w:val="00B157F6"/>
    <w:rsid w:val="00B159A0"/>
    <w:rsid w:val="00B15A77"/>
    <w:rsid w:val="00B15B52"/>
    <w:rsid w:val="00B16ED9"/>
    <w:rsid w:val="00B175E8"/>
    <w:rsid w:val="00B2019B"/>
    <w:rsid w:val="00B2031A"/>
    <w:rsid w:val="00B204BD"/>
    <w:rsid w:val="00B205C5"/>
    <w:rsid w:val="00B2086D"/>
    <w:rsid w:val="00B215D9"/>
    <w:rsid w:val="00B2321B"/>
    <w:rsid w:val="00B23329"/>
    <w:rsid w:val="00B23502"/>
    <w:rsid w:val="00B23CD8"/>
    <w:rsid w:val="00B24762"/>
    <w:rsid w:val="00B24EA4"/>
    <w:rsid w:val="00B253AB"/>
    <w:rsid w:val="00B25850"/>
    <w:rsid w:val="00B26557"/>
    <w:rsid w:val="00B26A85"/>
    <w:rsid w:val="00B27B69"/>
    <w:rsid w:val="00B3000E"/>
    <w:rsid w:val="00B304F9"/>
    <w:rsid w:val="00B30738"/>
    <w:rsid w:val="00B30BE3"/>
    <w:rsid w:val="00B31EE1"/>
    <w:rsid w:val="00B32677"/>
    <w:rsid w:val="00B348A3"/>
    <w:rsid w:val="00B34D47"/>
    <w:rsid w:val="00B3523D"/>
    <w:rsid w:val="00B355E0"/>
    <w:rsid w:val="00B3604D"/>
    <w:rsid w:val="00B3670A"/>
    <w:rsid w:val="00B3799F"/>
    <w:rsid w:val="00B37F49"/>
    <w:rsid w:val="00B40186"/>
    <w:rsid w:val="00B4132E"/>
    <w:rsid w:val="00B416AE"/>
    <w:rsid w:val="00B41F22"/>
    <w:rsid w:val="00B42165"/>
    <w:rsid w:val="00B42323"/>
    <w:rsid w:val="00B43347"/>
    <w:rsid w:val="00B43E31"/>
    <w:rsid w:val="00B44A60"/>
    <w:rsid w:val="00B44FEF"/>
    <w:rsid w:val="00B45015"/>
    <w:rsid w:val="00B451BA"/>
    <w:rsid w:val="00B47773"/>
    <w:rsid w:val="00B4780F"/>
    <w:rsid w:val="00B47AFE"/>
    <w:rsid w:val="00B47B5E"/>
    <w:rsid w:val="00B47E98"/>
    <w:rsid w:val="00B50370"/>
    <w:rsid w:val="00B50A10"/>
    <w:rsid w:val="00B50FA0"/>
    <w:rsid w:val="00B51345"/>
    <w:rsid w:val="00B5268B"/>
    <w:rsid w:val="00B52782"/>
    <w:rsid w:val="00B5388D"/>
    <w:rsid w:val="00B53CD0"/>
    <w:rsid w:val="00B540B9"/>
    <w:rsid w:val="00B545B4"/>
    <w:rsid w:val="00B54848"/>
    <w:rsid w:val="00B54ABE"/>
    <w:rsid w:val="00B553E0"/>
    <w:rsid w:val="00B56D14"/>
    <w:rsid w:val="00B572BE"/>
    <w:rsid w:val="00B577F3"/>
    <w:rsid w:val="00B57DB0"/>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6D81"/>
    <w:rsid w:val="00B67BC8"/>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594F"/>
    <w:rsid w:val="00B85F84"/>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5C1"/>
    <w:rsid w:val="00BA668E"/>
    <w:rsid w:val="00BA6C8C"/>
    <w:rsid w:val="00BA6D53"/>
    <w:rsid w:val="00BA6FAD"/>
    <w:rsid w:val="00BA70AC"/>
    <w:rsid w:val="00BA7D32"/>
    <w:rsid w:val="00BB045C"/>
    <w:rsid w:val="00BB0D1E"/>
    <w:rsid w:val="00BB28EC"/>
    <w:rsid w:val="00BB304F"/>
    <w:rsid w:val="00BB30CF"/>
    <w:rsid w:val="00BB3C04"/>
    <w:rsid w:val="00BB3E2B"/>
    <w:rsid w:val="00BB4551"/>
    <w:rsid w:val="00BB4CB5"/>
    <w:rsid w:val="00BB58BB"/>
    <w:rsid w:val="00BB5C8D"/>
    <w:rsid w:val="00BB6434"/>
    <w:rsid w:val="00BB665A"/>
    <w:rsid w:val="00BB6ACC"/>
    <w:rsid w:val="00BB6C7A"/>
    <w:rsid w:val="00BB7832"/>
    <w:rsid w:val="00BB7B33"/>
    <w:rsid w:val="00BC1724"/>
    <w:rsid w:val="00BC2158"/>
    <w:rsid w:val="00BC272D"/>
    <w:rsid w:val="00BC2762"/>
    <w:rsid w:val="00BC330C"/>
    <w:rsid w:val="00BC3759"/>
    <w:rsid w:val="00BC401B"/>
    <w:rsid w:val="00BC46B4"/>
    <w:rsid w:val="00BC5AA7"/>
    <w:rsid w:val="00BC5B6A"/>
    <w:rsid w:val="00BC6642"/>
    <w:rsid w:val="00BC78C6"/>
    <w:rsid w:val="00BD193B"/>
    <w:rsid w:val="00BD1E46"/>
    <w:rsid w:val="00BD20BD"/>
    <w:rsid w:val="00BD2E2A"/>
    <w:rsid w:val="00BD3799"/>
    <w:rsid w:val="00BD3AA1"/>
    <w:rsid w:val="00BD4869"/>
    <w:rsid w:val="00BD51F7"/>
    <w:rsid w:val="00BD5C4E"/>
    <w:rsid w:val="00BD5EA8"/>
    <w:rsid w:val="00BD7790"/>
    <w:rsid w:val="00BE02A5"/>
    <w:rsid w:val="00BE02B4"/>
    <w:rsid w:val="00BE062D"/>
    <w:rsid w:val="00BE14E1"/>
    <w:rsid w:val="00BE1822"/>
    <w:rsid w:val="00BE1946"/>
    <w:rsid w:val="00BE1C28"/>
    <w:rsid w:val="00BE2116"/>
    <w:rsid w:val="00BE29B1"/>
    <w:rsid w:val="00BE2E78"/>
    <w:rsid w:val="00BE34FB"/>
    <w:rsid w:val="00BE4808"/>
    <w:rsid w:val="00BE4C2A"/>
    <w:rsid w:val="00BE4ED4"/>
    <w:rsid w:val="00BE5682"/>
    <w:rsid w:val="00BE5E8A"/>
    <w:rsid w:val="00BE60EE"/>
    <w:rsid w:val="00BE62E4"/>
    <w:rsid w:val="00BE66C8"/>
    <w:rsid w:val="00BE67F4"/>
    <w:rsid w:val="00BE69D6"/>
    <w:rsid w:val="00BE705E"/>
    <w:rsid w:val="00BE77F7"/>
    <w:rsid w:val="00BF0073"/>
    <w:rsid w:val="00BF06E6"/>
    <w:rsid w:val="00BF0F82"/>
    <w:rsid w:val="00BF10BC"/>
    <w:rsid w:val="00BF1EC0"/>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922"/>
    <w:rsid w:val="00C17E08"/>
    <w:rsid w:val="00C2059C"/>
    <w:rsid w:val="00C20934"/>
    <w:rsid w:val="00C20C5F"/>
    <w:rsid w:val="00C20CB5"/>
    <w:rsid w:val="00C20E21"/>
    <w:rsid w:val="00C210CB"/>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2ED6"/>
    <w:rsid w:val="00C3550C"/>
    <w:rsid w:val="00C35D6F"/>
    <w:rsid w:val="00C35E7A"/>
    <w:rsid w:val="00C371E7"/>
    <w:rsid w:val="00C37857"/>
    <w:rsid w:val="00C40733"/>
    <w:rsid w:val="00C40A25"/>
    <w:rsid w:val="00C42032"/>
    <w:rsid w:val="00C42AE8"/>
    <w:rsid w:val="00C42B20"/>
    <w:rsid w:val="00C43875"/>
    <w:rsid w:val="00C43FF0"/>
    <w:rsid w:val="00C452B1"/>
    <w:rsid w:val="00C45344"/>
    <w:rsid w:val="00C453B8"/>
    <w:rsid w:val="00C45918"/>
    <w:rsid w:val="00C46D27"/>
    <w:rsid w:val="00C47A87"/>
    <w:rsid w:val="00C500FF"/>
    <w:rsid w:val="00C5092C"/>
    <w:rsid w:val="00C515E1"/>
    <w:rsid w:val="00C51948"/>
    <w:rsid w:val="00C51A13"/>
    <w:rsid w:val="00C52652"/>
    <w:rsid w:val="00C527DC"/>
    <w:rsid w:val="00C52AC7"/>
    <w:rsid w:val="00C52E9D"/>
    <w:rsid w:val="00C53562"/>
    <w:rsid w:val="00C54095"/>
    <w:rsid w:val="00C54862"/>
    <w:rsid w:val="00C55B74"/>
    <w:rsid w:val="00C55C85"/>
    <w:rsid w:val="00C55D3B"/>
    <w:rsid w:val="00C55F01"/>
    <w:rsid w:val="00C5616A"/>
    <w:rsid w:val="00C56D2D"/>
    <w:rsid w:val="00C572FB"/>
    <w:rsid w:val="00C57805"/>
    <w:rsid w:val="00C60425"/>
    <w:rsid w:val="00C60FAF"/>
    <w:rsid w:val="00C61486"/>
    <w:rsid w:val="00C61BF5"/>
    <w:rsid w:val="00C61E49"/>
    <w:rsid w:val="00C62065"/>
    <w:rsid w:val="00C62965"/>
    <w:rsid w:val="00C645BF"/>
    <w:rsid w:val="00C6490D"/>
    <w:rsid w:val="00C65554"/>
    <w:rsid w:val="00C65806"/>
    <w:rsid w:val="00C66742"/>
    <w:rsid w:val="00C668EB"/>
    <w:rsid w:val="00C671A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522"/>
    <w:rsid w:val="00C80C7A"/>
    <w:rsid w:val="00C80E46"/>
    <w:rsid w:val="00C810CC"/>
    <w:rsid w:val="00C81246"/>
    <w:rsid w:val="00C813BB"/>
    <w:rsid w:val="00C81A7E"/>
    <w:rsid w:val="00C8287D"/>
    <w:rsid w:val="00C83610"/>
    <w:rsid w:val="00C84A35"/>
    <w:rsid w:val="00C84BFA"/>
    <w:rsid w:val="00C85F51"/>
    <w:rsid w:val="00C85FF5"/>
    <w:rsid w:val="00C9038D"/>
    <w:rsid w:val="00C90A9C"/>
    <w:rsid w:val="00C90DC6"/>
    <w:rsid w:val="00C9101B"/>
    <w:rsid w:val="00C910D7"/>
    <w:rsid w:val="00C91840"/>
    <w:rsid w:val="00C91B64"/>
    <w:rsid w:val="00C92471"/>
    <w:rsid w:val="00C92516"/>
    <w:rsid w:val="00C925AC"/>
    <w:rsid w:val="00C92673"/>
    <w:rsid w:val="00C9282F"/>
    <w:rsid w:val="00C92C9F"/>
    <w:rsid w:val="00C93B0E"/>
    <w:rsid w:val="00C93BF9"/>
    <w:rsid w:val="00C93DAF"/>
    <w:rsid w:val="00C947B6"/>
    <w:rsid w:val="00C948BB"/>
    <w:rsid w:val="00C948F1"/>
    <w:rsid w:val="00C94F4D"/>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96F"/>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044"/>
    <w:rsid w:val="00CB5662"/>
    <w:rsid w:val="00CB615A"/>
    <w:rsid w:val="00CB64CB"/>
    <w:rsid w:val="00CB70DE"/>
    <w:rsid w:val="00CB717C"/>
    <w:rsid w:val="00CB761F"/>
    <w:rsid w:val="00CB7A2D"/>
    <w:rsid w:val="00CC0018"/>
    <w:rsid w:val="00CC06F4"/>
    <w:rsid w:val="00CC0857"/>
    <w:rsid w:val="00CC0B75"/>
    <w:rsid w:val="00CC19A9"/>
    <w:rsid w:val="00CC3575"/>
    <w:rsid w:val="00CC3D1B"/>
    <w:rsid w:val="00CC4583"/>
    <w:rsid w:val="00CC5D0C"/>
    <w:rsid w:val="00CC6B29"/>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0D2"/>
    <w:rsid w:val="00D01307"/>
    <w:rsid w:val="00D0239C"/>
    <w:rsid w:val="00D023E6"/>
    <w:rsid w:val="00D025B1"/>
    <w:rsid w:val="00D026F3"/>
    <w:rsid w:val="00D02B5B"/>
    <w:rsid w:val="00D02D6E"/>
    <w:rsid w:val="00D034E1"/>
    <w:rsid w:val="00D03A00"/>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3ED9"/>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1AFC"/>
    <w:rsid w:val="00D327B2"/>
    <w:rsid w:val="00D32EDB"/>
    <w:rsid w:val="00D335BD"/>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017"/>
    <w:rsid w:val="00D50890"/>
    <w:rsid w:val="00D50C12"/>
    <w:rsid w:val="00D510CF"/>
    <w:rsid w:val="00D51952"/>
    <w:rsid w:val="00D51F78"/>
    <w:rsid w:val="00D5286F"/>
    <w:rsid w:val="00D52AD9"/>
    <w:rsid w:val="00D52BFC"/>
    <w:rsid w:val="00D5337B"/>
    <w:rsid w:val="00D534EF"/>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201"/>
    <w:rsid w:val="00D844A3"/>
    <w:rsid w:val="00D844CD"/>
    <w:rsid w:val="00D84963"/>
    <w:rsid w:val="00D84D0C"/>
    <w:rsid w:val="00D86ADA"/>
    <w:rsid w:val="00D86CFD"/>
    <w:rsid w:val="00D874DF"/>
    <w:rsid w:val="00D9025E"/>
    <w:rsid w:val="00D91811"/>
    <w:rsid w:val="00D91A85"/>
    <w:rsid w:val="00D92BBE"/>
    <w:rsid w:val="00D93A0F"/>
    <w:rsid w:val="00D93E44"/>
    <w:rsid w:val="00D9409B"/>
    <w:rsid w:val="00D9415C"/>
    <w:rsid w:val="00D9419E"/>
    <w:rsid w:val="00D94CF6"/>
    <w:rsid w:val="00D95982"/>
    <w:rsid w:val="00D95CFF"/>
    <w:rsid w:val="00D96D73"/>
    <w:rsid w:val="00D9716A"/>
    <w:rsid w:val="00D97DAE"/>
    <w:rsid w:val="00D97F1B"/>
    <w:rsid w:val="00DA06F9"/>
    <w:rsid w:val="00DA08A7"/>
    <w:rsid w:val="00DA0F1C"/>
    <w:rsid w:val="00DA1A5F"/>
    <w:rsid w:val="00DA1E27"/>
    <w:rsid w:val="00DA2007"/>
    <w:rsid w:val="00DA2315"/>
    <w:rsid w:val="00DA237A"/>
    <w:rsid w:val="00DA327E"/>
    <w:rsid w:val="00DA32BA"/>
    <w:rsid w:val="00DA32FA"/>
    <w:rsid w:val="00DA367A"/>
    <w:rsid w:val="00DA49B9"/>
    <w:rsid w:val="00DA4E29"/>
    <w:rsid w:val="00DA5158"/>
    <w:rsid w:val="00DA51BF"/>
    <w:rsid w:val="00DA587A"/>
    <w:rsid w:val="00DA5B14"/>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66B1"/>
    <w:rsid w:val="00DC7148"/>
    <w:rsid w:val="00DD0291"/>
    <w:rsid w:val="00DD0806"/>
    <w:rsid w:val="00DD11D4"/>
    <w:rsid w:val="00DD1493"/>
    <w:rsid w:val="00DD229E"/>
    <w:rsid w:val="00DD2E44"/>
    <w:rsid w:val="00DD30E3"/>
    <w:rsid w:val="00DD3D1C"/>
    <w:rsid w:val="00DD4E09"/>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346"/>
    <w:rsid w:val="00DE7E37"/>
    <w:rsid w:val="00DE7E98"/>
    <w:rsid w:val="00DE7F7A"/>
    <w:rsid w:val="00DF0186"/>
    <w:rsid w:val="00DF0F31"/>
    <w:rsid w:val="00DF146E"/>
    <w:rsid w:val="00DF15B6"/>
    <w:rsid w:val="00DF25B3"/>
    <w:rsid w:val="00DF3DD5"/>
    <w:rsid w:val="00DF42F3"/>
    <w:rsid w:val="00DF574A"/>
    <w:rsid w:val="00DF63EF"/>
    <w:rsid w:val="00DF6883"/>
    <w:rsid w:val="00DF7222"/>
    <w:rsid w:val="00DF7649"/>
    <w:rsid w:val="00DF76D5"/>
    <w:rsid w:val="00DF79E1"/>
    <w:rsid w:val="00E000EE"/>
    <w:rsid w:val="00E013DA"/>
    <w:rsid w:val="00E013EA"/>
    <w:rsid w:val="00E017FE"/>
    <w:rsid w:val="00E01820"/>
    <w:rsid w:val="00E02463"/>
    <w:rsid w:val="00E025DA"/>
    <w:rsid w:val="00E031F6"/>
    <w:rsid w:val="00E03593"/>
    <w:rsid w:val="00E0418A"/>
    <w:rsid w:val="00E04A65"/>
    <w:rsid w:val="00E04DB4"/>
    <w:rsid w:val="00E0522D"/>
    <w:rsid w:val="00E052E0"/>
    <w:rsid w:val="00E0541F"/>
    <w:rsid w:val="00E0576C"/>
    <w:rsid w:val="00E05B75"/>
    <w:rsid w:val="00E0629D"/>
    <w:rsid w:val="00E10432"/>
    <w:rsid w:val="00E10512"/>
    <w:rsid w:val="00E1069F"/>
    <w:rsid w:val="00E11063"/>
    <w:rsid w:val="00E125FB"/>
    <w:rsid w:val="00E1323F"/>
    <w:rsid w:val="00E13521"/>
    <w:rsid w:val="00E13993"/>
    <w:rsid w:val="00E13B9F"/>
    <w:rsid w:val="00E14C6D"/>
    <w:rsid w:val="00E15594"/>
    <w:rsid w:val="00E15728"/>
    <w:rsid w:val="00E15858"/>
    <w:rsid w:val="00E15B37"/>
    <w:rsid w:val="00E15C9D"/>
    <w:rsid w:val="00E15ED9"/>
    <w:rsid w:val="00E15FD0"/>
    <w:rsid w:val="00E164C2"/>
    <w:rsid w:val="00E177D5"/>
    <w:rsid w:val="00E17E03"/>
    <w:rsid w:val="00E20463"/>
    <w:rsid w:val="00E21F02"/>
    <w:rsid w:val="00E226CF"/>
    <w:rsid w:val="00E2294B"/>
    <w:rsid w:val="00E22E3F"/>
    <w:rsid w:val="00E23913"/>
    <w:rsid w:val="00E23ADE"/>
    <w:rsid w:val="00E24882"/>
    <w:rsid w:val="00E250FD"/>
    <w:rsid w:val="00E253C0"/>
    <w:rsid w:val="00E27D56"/>
    <w:rsid w:val="00E27FE3"/>
    <w:rsid w:val="00E30DC2"/>
    <w:rsid w:val="00E313CC"/>
    <w:rsid w:val="00E3151B"/>
    <w:rsid w:val="00E3165F"/>
    <w:rsid w:val="00E319EC"/>
    <w:rsid w:val="00E31EEB"/>
    <w:rsid w:val="00E324DF"/>
    <w:rsid w:val="00E326C3"/>
    <w:rsid w:val="00E34810"/>
    <w:rsid w:val="00E34AE8"/>
    <w:rsid w:val="00E35A29"/>
    <w:rsid w:val="00E35CC6"/>
    <w:rsid w:val="00E36366"/>
    <w:rsid w:val="00E36AFB"/>
    <w:rsid w:val="00E37672"/>
    <w:rsid w:val="00E37A81"/>
    <w:rsid w:val="00E37D0E"/>
    <w:rsid w:val="00E4212A"/>
    <w:rsid w:val="00E42543"/>
    <w:rsid w:val="00E4263F"/>
    <w:rsid w:val="00E434BA"/>
    <w:rsid w:val="00E43966"/>
    <w:rsid w:val="00E43CC0"/>
    <w:rsid w:val="00E445AE"/>
    <w:rsid w:val="00E458D9"/>
    <w:rsid w:val="00E45C30"/>
    <w:rsid w:val="00E45D83"/>
    <w:rsid w:val="00E463C1"/>
    <w:rsid w:val="00E4690E"/>
    <w:rsid w:val="00E46F4C"/>
    <w:rsid w:val="00E474A8"/>
    <w:rsid w:val="00E47FC2"/>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76E"/>
    <w:rsid w:val="00E60D2A"/>
    <w:rsid w:val="00E60EE5"/>
    <w:rsid w:val="00E60FD6"/>
    <w:rsid w:val="00E615BA"/>
    <w:rsid w:val="00E62036"/>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4A8"/>
    <w:rsid w:val="00E839F8"/>
    <w:rsid w:val="00E83B51"/>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2341"/>
    <w:rsid w:val="00EA3370"/>
    <w:rsid w:val="00EA461F"/>
    <w:rsid w:val="00EA61F9"/>
    <w:rsid w:val="00EA6EEB"/>
    <w:rsid w:val="00EA70A1"/>
    <w:rsid w:val="00EA7120"/>
    <w:rsid w:val="00EA7931"/>
    <w:rsid w:val="00EA7C0E"/>
    <w:rsid w:val="00EB19D2"/>
    <w:rsid w:val="00EB1BA0"/>
    <w:rsid w:val="00EB1BBB"/>
    <w:rsid w:val="00EB281F"/>
    <w:rsid w:val="00EB37C5"/>
    <w:rsid w:val="00EB3961"/>
    <w:rsid w:val="00EB3E64"/>
    <w:rsid w:val="00EB466D"/>
    <w:rsid w:val="00EB46CC"/>
    <w:rsid w:val="00EB58AE"/>
    <w:rsid w:val="00EB7E44"/>
    <w:rsid w:val="00EC0496"/>
    <w:rsid w:val="00EC06BB"/>
    <w:rsid w:val="00EC0A36"/>
    <w:rsid w:val="00EC170A"/>
    <w:rsid w:val="00EC175B"/>
    <w:rsid w:val="00EC1833"/>
    <w:rsid w:val="00EC2024"/>
    <w:rsid w:val="00EC21F1"/>
    <w:rsid w:val="00EC2379"/>
    <w:rsid w:val="00EC2A54"/>
    <w:rsid w:val="00EC2F7E"/>
    <w:rsid w:val="00EC311A"/>
    <w:rsid w:val="00EC393D"/>
    <w:rsid w:val="00EC39BB"/>
    <w:rsid w:val="00EC4D96"/>
    <w:rsid w:val="00EC5F70"/>
    <w:rsid w:val="00EC5FB4"/>
    <w:rsid w:val="00EC64DF"/>
    <w:rsid w:val="00EC68E4"/>
    <w:rsid w:val="00EC6B04"/>
    <w:rsid w:val="00EC78A1"/>
    <w:rsid w:val="00EC7F2E"/>
    <w:rsid w:val="00ED0BCA"/>
    <w:rsid w:val="00ED3121"/>
    <w:rsid w:val="00ED3178"/>
    <w:rsid w:val="00ED326F"/>
    <w:rsid w:val="00ED36E1"/>
    <w:rsid w:val="00ED3CD2"/>
    <w:rsid w:val="00ED3E02"/>
    <w:rsid w:val="00ED43C1"/>
    <w:rsid w:val="00ED4974"/>
    <w:rsid w:val="00ED5101"/>
    <w:rsid w:val="00ED5120"/>
    <w:rsid w:val="00ED5372"/>
    <w:rsid w:val="00ED56FE"/>
    <w:rsid w:val="00ED5718"/>
    <w:rsid w:val="00ED65F0"/>
    <w:rsid w:val="00ED74E5"/>
    <w:rsid w:val="00ED7686"/>
    <w:rsid w:val="00ED7AD0"/>
    <w:rsid w:val="00ED7CC7"/>
    <w:rsid w:val="00EE014B"/>
    <w:rsid w:val="00EE0567"/>
    <w:rsid w:val="00EE1D36"/>
    <w:rsid w:val="00EE2081"/>
    <w:rsid w:val="00EE21BB"/>
    <w:rsid w:val="00EE2347"/>
    <w:rsid w:val="00EE28BB"/>
    <w:rsid w:val="00EE2C4F"/>
    <w:rsid w:val="00EE32C2"/>
    <w:rsid w:val="00EE43B9"/>
    <w:rsid w:val="00EE477D"/>
    <w:rsid w:val="00EE575C"/>
    <w:rsid w:val="00EE5D6C"/>
    <w:rsid w:val="00EE625E"/>
    <w:rsid w:val="00EE63E6"/>
    <w:rsid w:val="00EE65A8"/>
    <w:rsid w:val="00EE69A6"/>
    <w:rsid w:val="00EE6ADA"/>
    <w:rsid w:val="00EE70D1"/>
    <w:rsid w:val="00EE76A9"/>
    <w:rsid w:val="00EE7B57"/>
    <w:rsid w:val="00EE7F24"/>
    <w:rsid w:val="00EE7FA7"/>
    <w:rsid w:val="00EF0191"/>
    <w:rsid w:val="00EF0555"/>
    <w:rsid w:val="00EF0E47"/>
    <w:rsid w:val="00EF21C3"/>
    <w:rsid w:val="00EF25CA"/>
    <w:rsid w:val="00EF272B"/>
    <w:rsid w:val="00EF2FE6"/>
    <w:rsid w:val="00EF47C7"/>
    <w:rsid w:val="00EF5785"/>
    <w:rsid w:val="00EF5A32"/>
    <w:rsid w:val="00EF6954"/>
    <w:rsid w:val="00F00551"/>
    <w:rsid w:val="00F00766"/>
    <w:rsid w:val="00F00CE2"/>
    <w:rsid w:val="00F00D60"/>
    <w:rsid w:val="00F01450"/>
    <w:rsid w:val="00F01535"/>
    <w:rsid w:val="00F02FBE"/>
    <w:rsid w:val="00F03143"/>
    <w:rsid w:val="00F04394"/>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3C09"/>
    <w:rsid w:val="00F1416E"/>
    <w:rsid w:val="00F143D5"/>
    <w:rsid w:val="00F14F43"/>
    <w:rsid w:val="00F152E6"/>
    <w:rsid w:val="00F15DB4"/>
    <w:rsid w:val="00F15F33"/>
    <w:rsid w:val="00F1642C"/>
    <w:rsid w:val="00F16BAF"/>
    <w:rsid w:val="00F17876"/>
    <w:rsid w:val="00F179C6"/>
    <w:rsid w:val="00F205F3"/>
    <w:rsid w:val="00F2061C"/>
    <w:rsid w:val="00F209A0"/>
    <w:rsid w:val="00F2117E"/>
    <w:rsid w:val="00F211AE"/>
    <w:rsid w:val="00F213BA"/>
    <w:rsid w:val="00F2192B"/>
    <w:rsid w:val="00F2298E"/>
    <w:rsid w:val="00F22AD5"/>
    <w:rsid w:val="00F22D09"/>
    <w:rsid w:val="00F238C6"/>
    <w:rsid w:val="00F23E3E"/>
    <w:rsid w:val="00F24259"/>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3EA3"/>
    <w:rsid w:val="00F3423B"/>
    <w:rsid w:val="00F349F2"/>
    <w:rsid w:val="00F36919"/>
    <w:rsid w:val="00F37392"/>
    <w:rsid w:val="00F378F5"/>
    <w:rsid w:val="00F37B13"/>
    <w:rsid w:val="00F400D9"/>
    <w:rsid w:val="00F41F34"/>
    <w:rsid w:val="00F41F96"/>
    <w:rsid w:val="00F42022"/>
    <w:rsid w:val="00F420AC"/>
    <w:rsid w:val="00F42AEA"/>
    <w:rsid w:val="00F43148"/>
    <w:rsid w:val="00F4338F"/>
    <w:rsid w:val="00F44085"/>
    <w:rsid w:val="00F444B1"/>
    <w:rsid w:val="00F44613"/>
    <w:rsid w:val="00F4537E"/>
    <w:rsid w:val="00F45BAC"/>
    <w:rsid w:val="00F466A4"/>
    <w:rsid w:val="00F467DA"/>
    <w:rsid w:val="00F4713C"/>
    <w:rsid w:val="00F472A3"/>
    <w:rsid w:val="00F473EF"/>
    <w:rsid w:val="00F47A26"/>
    <w:rsid w:val="00F505DC"/>
    <w:rsid w:val="00F50CBD"/>
    <w:rsid w:val="00F50F2A"/>
    <w:rsid w:val="00F51E5B"/>
    <w:rsid w:val="00F52677"/>
    <w:rsid w:val="00F53109"/>
    <w:rsid w:val="00F532E8"/>
    <w:rsid w:val="00F53496"/>
    <w:rsid w:val="00F53866"/>
    <w:rsid w:val="00F53DF1"/>
    <w:rsid w:val="00F5529C"/>
    <w:rsid w:val="00F56246"/>
    <w:rsid w:val="00F56CC9"/>
    <w:rsid w:val="00F5715A"/>
    <w:rsid w:val="00F574A2"/>
    <w:rsid w:val="00F57AD8"/>
    <w:rsid w:val="00F57B4D"/>
    <w:rsid w:val="00F57C83"/>
    <w:rsid w:val="00F61CFF"/>
    <w:rsid w:val="00F6365F"/>
    <w:rsid w:val="00F637C2"/>
    <w:rsid w:val="00F63DEC"/>
    <w:rsid w:val="00F640E7"/>
    <w:rsid w:val="00F64109"/>
    <w:rsid w:val="00F645F7"/>
    <w:rsid w:val="00F64AF1"/>
    <w:rsid w:val="00F6553E"/>
    <w:rsid w:val="00F65631"/>
    <w:rsid w:val="00F658A1"/>
    <w:rsid w:val="00F65FFC"/>
    <w:rsid w:val="00F671DB"/>
    <w:rsid w:val="00F71595"/>
    <w:rsid w:val="00F71FA3"/>
    <w:rsid w:val="00F72CD5"/>
    <w:rsid w:val="00F73518"/>
    <w:rsid w:val="00F73D49"/>
    <w:rsid w:val="00F73E8C"/>
    <w:rsid w:val="00F74F40"/>
    <w:rsid w:val="00F75387"/>
    <w:rsid w:val="00F75642"/>
    <w:rsid w:val="00F7670E"/>
    <w:rsid w:val="00F769A8"/>
    <w:rsid w:val="00F7762C"/>
    <w:rsid w:val="00F776C4"/>
    <w:rsid w:val="00F8039C"/>
    <w:rsid w:val="00F81992"/>
    <w:rsid w:val="00F8206E"/>
    <w:rsid w:val="00F8297B"/>
    <w:rsid w:val="00F82E26"/>
    <w:rsid w:val="00F83613"/>
    <w:rsid w:val="00F8381F"/>
    <w:rsid w:val="00F83E73"/>
    <w:rsid w:val="00F8449B"/>
    <w:rsid w:val="00F844BF"/>
    <w:rsid w:val="00F84626"/>
    <w:rsid w:val="00F84EAB"/>
    <w:rsid w:val="00F864A4"/>
    <w:rsid w:val="00F86A45"/>
    <w:rsid w:val="00F86EED"/>
    <w:rsid w:val="00F878FE"/>
    <w:rsid w:val="00F87B44"/>
    <w:rsid w:val="00F87FEA"/>
    <w:rsid w:val="00F9004E"/>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4A85"/>
    <w:rsid w:val="00F95392"/>
    <w:rsid w:val="00F959F4"/>
    <w:rsid w:val="00F965F2"/>
    <w:rsid w:val="00F96A69"/>
    <w:rsid w:val="00F971DA"/>
    <w:rsid w:val="00F97611"/>
    <w:rsid w:val="00F976A4"/>
    <w:rsid w:val="00F97D19"/>
    <w:rsid w:val="00F97E7A"/>
    <w:rsid w:val="00FA09EB"/>
    <w:rsid w:val="00FA1233"/>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3E12"/>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4EA5"/>
    <w:rsid w:val="00FC55E5"/>
    <w:rsid w:val="00FC59C4"/>
    <w:rsid w:val="00FC604E"/>
    <w:rsid w:val="00FC6451"/>
    <w:rsid w:val="00FC6587"/>
    <w:rsid w:val="00FC6FA9"/>
    <w:rsid w:val="00FC7BA3"/>
    <w:rsid w:val="00FD07BC"/>
    <w:rsid w:val="00FD1169"/>
    <w:rsid w:val="00FD118C"/>
    <w:rsid w:val="00FD15A1"/>
    <w:rsid w:val="00FD20D3"/>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014"/>
    <w:rsid w:val="00FF156D"/>
    <w:rsid w:val="00FF1692"/>
    <w:rsid w:val="00FF16F2"/>
    <w:rsid w:val="00FF1A3D"/>
    <w:rsid w:val="00FF2046"/>
    <w:rsid w:val="00FF230C"/>
    <w:rsid w:val="00FF24A1"/>
    <w:rsid w:val="00FF26E4"/>
    <w:rsid w:val="00FF2B5B"/>
    <w:rsid w:val="00FF3D60"/>
    <w:rsid w:val="00FF560E"/>
    <w:rsid w:val="00FF5748"/>
    <w:rsid w:val="00FF60E0"/>
    <w:rsid w:val="00FF703E"/>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EC0"/>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F1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EC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题注"/>
    <w:basedOn w:val="Normal"/>
    <w:next w:val="Normal"/>
    <w:link w:val="CaptionChar1"/>
    <w:uiPriority w:val="35"/>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 Char,????? Char,???? Char,Lista1 Char"/>
    <w:link w:val="ListParagraph"/>
    <w:uiPriority w:val="34"/>
    <w:qFormat/>
    <w:rsid w:val="007D5603"/>
    <w:rPr>
      <w:rFonts w:asciiTheme="minorHAnsi" w:eastAsiaTheme="minorEastAsia" w:hAnsiTheme="minorHAnsi" w:cstheme="minorBidi"/>
      <w:kern w:val="2"/>
      <w:sz w:val="21"/>
      <w:szCs w:val="22"/>
      <w:lang w:eastAsia="en-US"/>
    </w:rPr>
  </w:style>
  <w:style w:type="character" w:customStyle="1" w:styleId="EQChar">
    <w:name w:val="EQ Char"/>
    <w:link w:val="EQ"/>
    <w:locked/>
    <w:rsid w:val="0059677C"/>
    <w:rPr>
      <w:rFonts w:asciiTheme="minorHAnsi" w:eastAsiaTheme="minorEastAsia" w:hAnsiTheme="minorHAnsi" w:cstheme="minorBidi"/>
      <w:noProof/>
      <w:kern w:val="2"/>
      <w:sz w:val="21"/>
      <w:szCs w:val="22"/>
    </w:rPr>
  </w:style>
  <w:style w:type="character" w:styleId="Emphasis">
    <w:name w:val="Emphasis"/>
    <w:basedOn w:val="DefaultParagraphFont"/>
    <w:uiPriority w:val="20"/>
    <w:qFormat/>
    <w:rsid w:val="00BC1724"/>
    <w:rPr>
      <w:i/>
      <w:iCs/>
    </w:rPr>
  </w:style>
  <w:style w:type="character" w:customStyle="1" w:styleId="CommentTextChar">
    <w:name w:val="Comment Text Char"/>
    <w:basedOn w:val="DefaultParagraphFont"/>
    <w:link w:val="CommentText"/>
    <w:semiHidden/>
    <w:rsid w:val="00F64AF1"/>
    <w:rPr>
      <w:rFonts w:asciiTheme="minorHAnsi" w:eastAsia="MS Mincho"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7251">
      <w:bodyDiv w:val="1"/>
      <w:marLeft w:val="0"/>
      <w:marRight w:val="0"/>
      <w:marTop w:val="0"/>
      <w:marBottom w:val="0"/>
      <w:divBdr>
        <w:top w:val="none" w:sz="0" w:space="0" w:color="auto"/>
        <w:left w:val="none" w:sz="0" w:space="0" w:color="auto"/>
        <w:bottom w:val="none" w:sz="0" w:space="0" w:color="auto"/>
        <w:right w:val="none" w:sz="0" w:space="0" w:color="auto"/>
      </w:divBdr>
      <w:divsChild>
        <w:div w:id="261912965">
          <w:marLeft w:val="360"/>
          <w:marRight w:val="0"/>
          <w:marTop w:val="200"/>
          <w:marBottom w:val="0"/>
          <w:divBdr>
            <w:top w:val="none" w:sz="0" w:space="0" w:color="auto"/>
            <w:left w:val="none" w:sz="0" w:space="0" w:color="auto"/>
            <w:bottom w:val="none" w:sz="0" w:space="0" w:color="auto"/>
            <w:right w:val="none" w:sz="0" w:space="0" w:color="auto"/>
          </w:divBdr>
        </w:div>
        <w:div w:id="1462964870">
          <w:marLeft w:val="1080"/>
          <w:marRight w:val="0"/>
          <w:marTop w:val="100"/>
          <w:marBottom w:val="0"/>
          <w:divBdr>
            <w:top w:val="none" w:sz="0" w:space="0" w:color="auto"/>
            <w:left w:val="none" w:sz="0" w:space="0" w:color="auto"/>
            <w:bottom w:val="none" w:sz="0" w:space="0" w:color="auto"/>
            <w:right w:val="none" w:sz="0" w:space="0" w:color="auto"/>
          </w:divBdr>
        </w:div>
        <w:div w:id="560604836">
          <w:marLeft w:val="1800"/>
          <w:marRight w:val="0"/>
          <w:marTop w:val="100"/>
          <w:marBottom w:val="0"/>
          <w:divBdr>
            <w:top w:val="none" w:sz="0" w:space="0" w:color="auto"/>
            <w:left w:val="none" w:sz="0" w:space="0" w:color="auto"/>
            <w:bottom w:val="none" w:sz="0" w:space="0" w:color="auto"/>
            <w:right w:val="none" w:sz="0" w:space="0" w:color="auto"/>
          </w:divBdr>
        </w:div>
        <w:div w:id="701631939">
          <w:marLeft w:val="1800"/>
          <w:marRight w:val="0"/>
          <w:marTop w:val="100"/>
          <w:marBottom w:val="0"/>
          <w:divBdr>
            <w:top w:val="none" w:sz="0" w:space="0" w:color="auto"/>
            <w:left w:val="none" w:sz="0" w:space="0" w:color="auto"/>
            <w:bottom w:val="none" w:sz="0" w:space="0" w:color="auto"/>
            <w:right w:val="none" w:sz="0" w:space="0" w:color="auto"/>
          </w:divBdr>
        </w:div>
        <w:div w:id="97529394">
          <w:marLeft w:val="1800"/>
          <w:marRight w:val="0"/>
          <w:marTop w:val="100"/>
          <w:marBottom w:val="0"/>
          <w:divBdr>
            <w:top w:val="none" w:sz="0" w:space="0" w:color="auto"/>
            <w:left w:val="none" w:sz="0" w:space="0" w:color="auto"/>
            <w:bottom w:val="none" w:sz="0" w:space="0" w:color="auto"/>
            <w:right w:val="none" w:sz="0" w:space="0" w:color="auto"/>
          </w:divBdr>
        </w:div>
        <w:div w:id="1812097499">
          <w:marLeft w:val="1800"/>
          <w:marRight w:val="0"/>
          <w:marTop w:val="100"/>
          <w:marBottom w:val="0"/>
          <w:divBdr>
            <w:top w:val="none" w:sz="0" w:space="0" w:color="auto"/>
            <w:left w:val="none" w:sz="0" w:space="0" w:color="auto"/>
            <w:bottom w:val="none" w:sz="0" w:space="0" w:color="auto"/>
            <w:right w:val="none" w:sz="0" w:space="0" w:color="auto"/>
          </w:divBdr>
        </w:div>
        <w:div w:id="1348867473">
          <w:marLeft w:val="1800"/>
          <w:marRight w:val="0"/>
          <w:marTop w:val="100"/>
          <w:marBottom w:val="0"/>
          <w:divBdr>
            <w:top w:val="none" w:sz="0" w:space="0" w:color="auto"/>
            <w:left w:val="none" w:sz="0" w:space="0" w:color="auto"/>
            <w:bottom w:val="none" w:sz="0" w:space="0" w:color="auto"/>
            <w:right w:val="none" w:sz="0" w:space="0" w:color="auto"/>
          </w:divBdr>
        </w:div>
        <w:div w:id="13772955">
          <w:marLeft w:val="1800"/>
          <w:marRight w:val="0"/>
          <w:marTop w:val="100"/>
          <w:marBottom w:val="0"/>
          <w:divBdr>
            <w:top w:val="none" w:sz="0" w:space="0" w:color="auto"/>
            <w:left w:val="none" w:sz="0" w:space="0" w:color="auto"/>
            <w:bottom w:val="none" w:sz="0" w:space="0" w:color="auto"/>
            <w:right w:val="none" w:sz="0" w:space="0" w:color="auto"/>
          </w:divBdr>
        </w:div>
        <w:div w:id="69819060">
          <w:marLeft w:val="1080"/>
          <w:marRight w:val="0"/>
          <w:marTop w:val="100"/>
          <w:marBottom w:val="0"/>
          <w:divBdr>
            <w:top w:val="none" w:sz="0" w:space="0" w:color="auto"/>
            <w:left w:val="none" w:sz="0" w:space="0" w:color="auto"/>
            <w:bottom w:val="none" w:sz="0" w:space="0" w:color="auto"/>
            <w:right w:val="none" w:sz="0" w:space="0" w:color="auto"/>
          </w:divBdr>
        </w:div>
        <w:div w:id="606347686">
          <w:marLeft w:val="1800"/>
          <w:marRight w:val="0"/>
          <w:marTop w:val="100"/>
          <w:marBottom w:val="0"/>
          <w:divBdr>
            <w:top w:val="none" w:sz="0" w:space="0" w:color="auto"/>
            <w:left w:val="none" w:sz="0" w:space="0" w:color="auto"/>
            <w:bottom w:val="none" w:sz="0" w:space="0" w:color="auto"/>
            <w:right w:val="none" w:sz="0" w:space="0" w:color="auto"/>
          </w:divBdr>
        </w:div>
        <w:div w:id="424812383">
          <w:marLeft w:val="1800"/>
          <w:marRight w:val="0"/>
          <w:marTop w:val="100"/>
          <w:marBottom w:val="0"/>
          <w:divBdr>
            <w:top w:val="none" w:sz="0" w:space="0" w:color="auto"/>
            <w:left w:val="none" w:sz="0" w:space="0" w:color="auto"/>
            <w:bottom w:val="none" w:sz="0" w:space="0" w:color="auto"/>
            <w:right w:val="none" w:sz="0" w:space="0" w:color="auto"/>
          </w:divBdr>
        </w:div>
        <w:div w:id="707753188">
          <w:marLeft w:val="1800"/>
          <w:marRight w:val="0"/>
          <w:marTop w:val="100"/>
          <w:marBottom w:val="0"/>
          <w:divBdr>
            <w:top w:val="none" w:sz="0" w:space="0" w:color="auto"/>
            <w:left w:val="none" w:sz="0" w:space="0" w:color="auto"/>
            <w:bottom w:val="none" w:sz="0" w:space="0" w:color="auto"/>
            <w:right w:val="none" w:sz="0" w:space="0" w:color="auto"/>
          </w:divBdr>
        </w:div>
        <w:div w:id="505631990">
          <w:marLeft w:val="1080"/>
          <w:marRight w:val="0"/>
          <w:marTop w:val="100"/>
          <w:marBottom w:val="0"/>
          <w:divBdr>
            <w:top w:val="none" w:sz="0" w:space="0" w:color="auto"/>
            <w:left w:val="none" w:sz="0" w:space="0" w:color="auto"/>
            <w:bottom w:val="none" w:sz="0" w:space="0" w:color="auto"/>
            <w:right w:val="none" w:sz="0" w:space="0" w:color="auto"/>
          </w:divBdr>
        </w:div>
      </w:divsChild>
    </w:div>
    <w:div w:id="4279990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4933400">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631315">
      <w:bodyDiv w:val="1"/>
      <w:marLeft w:val="0"/>
      <w:marRight w:val="0"/>
      <w:marTop w:val="0"/>
      <w:marBottom w:val="0"/>
      <w:divBdr>
        <w:top w:val="none" w:sz="0" w:space="0" w:color="auto"/>
        <w:left w:val="none" w:sz="0" w:space="0" w:color="auto"/>
        <w:bottom w:val="none" w:sz="0" w:space="0" w:color="auto"/>
        <w:right w:val="none" w:sz="0" w:space="0" w:color="auto"/>
      </w:divBdr>
      <w:divsChild>
        <w:div w:id="1473064067">
          <w:marLeft w:val="360"/>
          <w:marRight w:val="0"/>
          <w:marTop w:val="200"/>
          <w:marBottom w:val="0"/>
          <w:divBdr>
            <w:top w:val="none" w:sz="0" w:space="0" w:color="auto"/>
            <w:left w:val="none" w:sz="0" w:space="0" w:color="auto"/>
            <w:bottom w:val="none" w:sz="0" w:space="0" w:color="auto"/>
            <w:right w:val="none" w:sz="0" w:space="0" w:color="auto"/>
          </w:divBdr>
        </w:div>
        <w:div w:id="738092787">
          <w:marLeft w:val="1080"/>
          <w:marRight w:val="0"/>
          <w:marTop w:val="100"/>
          <w:marBottom w:val="0"/>
          <w:divBdr>
            <w:top w:val="none" w:sz="0" w:space="0" w:color="auto"/>
            <w:left w:val="none" w:sz="0" w:space="0" w:color="auto"/>
            <w:bottom w:val="none" w:sz="0" w:space="0" w:color="auto"/>
            <w:right w:val="none" w:sz="0" w:space="0" w:color="auto"/>
          </w:divBdr>
        </w:div>
        <w:div w:id="365645044">
          <w:marLeft w:val="1800"/>
          <w:marRight w:val="0"/>
          <w:marTop w:val="100"/>
          <w:marBottom w:val="0"/>
          <w:divBdr>
            <w:top w:val="none" w:sz="0" w:space="0" w:color="auto"/>
            <w:left w:val="none" w:sz="0" w:space="0" w:color="auto"/>
            <w:bottom w:val="none" w:sz="0" w:space="0" w:color="auto"/>
            <w:right w:val="none" w:sz="0" w:space="0" w:color="auto"/>
          </w:divBdr>
        </w:div>
        <w:div w:id="1842769257">
          <w:marLeft w:val="1800"/>
          <w:marRight w:val="0"/>
          <w:marTop w:val="100"/>
          <w:marBottom w:val="0"/>
          <w:divBdr>
            <w:top w:val="none" w:sz="0" w:space="0" w:color="auto"/>
            <w:left w:val="none" w:sz="0" w:space="0" w:color="auto"/>
            <w:bottom w:val="none" w:sz="0" w:space="0" w:color="auto"/>
            <w:right w:val="none" w:sz="0" w:space="0" w:color="auto"/>
          </w:divBdr>
        </w:div>
        <w:div w:id="780805810">
          <w:marLeft w:val="1800"/>
          <w:marRight w:val="0"/>
          <w:marTop w:val="100"/>
          <w:marBottom w:val="0"/>
          <w:divBdr>
            <w:top w:val="none" w:sz="0" w:space="0" w:color="auto"/>
            <w:left w:val="none" w:sz="0" w:space="0" w:color="auto"/>
            <w:bottom w:val="none" w:sz="0" w:space="0" w:color="auto"/>
            <w:right w:val="none" w:sz="0" w:space="0" w:color="auto"/>
          </w:divBdr>
        </w:div>
        <w:div w:id="380597402">
          <w:marLeft w:val="1800"/>
          <w:marRight w:val="0"/>
          <w:marTop w:val="100"/>
          <w:marBottom w:val="0"/>
          <w:divBdr>
            <w:top w:val="none" w:sz="0" w:space="0" w:color="auto"/>
            <w:left w:val="none" w:sz="0" w:space="0" w:color="auto"/>
            <w:bottom w:val="none" w:sz="0" w:space="0" w:color="auto"/>
            <w:right w:val="none" w:sz="0" w:space="0" w:color="auto"/>
          </w:divBdr>
        </w:div>
        <w:div w:id="365179926">
          <w:marLeft w:val="1800"/>
          <w:marRight w:val="0"/>
          <w:marTop w:val="100"/>
          <w:marBottom w:val="0"/>
          <w:divBdr>
            <w:top w:val="none" w:sz="0" w:space="0" w:color="auto"/>
            <w:left w:val="none" w:sz="0" w:space="0" w:color="auto"/>
            <w:bottom w:val="none" w:sz="0" w:space="0" w:color="auto"/>
            <w:right w:val="none" w:sz="0" w:space="0" w:color="auto"/>
          </w:divBdr>
        </w:div>
        <w:div w:id="2142913798">
          <w:marLeft w:val="1800"/>
          <w:marRight w:val="0"/>
          <w:marTop w:val="100"/>
          <w:marBottom w:val="0"/>
          <w:divBdr>
            <w:top w:val="none" w:sz="0" w:space="0" w:color="auto"/>
            <w:left w:val="none" w:sz="0" w:space="0" w:color="auto"/>
            <w:bottom w:val="none" w:sz="0" w:space="0" w:color="auto"/>
            <w:right w:val="none" w:sz="0" w:space="0" w:color="auto"/>
          </w:divBdr>
        </w:div>
        <w:div w:id="2080325840">
          <w:marLeft w:val="1080"/>
          <w:marRight w:val="0"/>
          <w:marTop w:val="100"/>
          <w:marBottom w:val="0"/>
          <w:divBdr>
            <w:top w:val="none" w:sz="0" w:space="0" w:color="auto"/>
            <w:left w:val="none" w:sz="0" w:space="0" w:color="auto"/>
            <w:bottom w:val="none" w:sz="0" w:space="0" w:color="auto"/>
            <w:right w:val="none" w:sz="0" w:space="0" w:color="auto"/>
          </w:divBdr>
        </w:div>
        <w:div w:id="1582639486">
          <w:marLeft w:val="1800"/>
          <w:marRight w:val="0"/>
          <w:marTop w:val="100"/>
          <w:marBottom w:val="0"/>
          <w:divBdr>
            <w:top w:val="none" w:sz="0" w:space="0" w:color="auto"/>
            <w:left w:val="none" w:sz="0" w:space="0" w:color="auto"/>
            <w:bottom w:val="none" w:sz="0" w:space="0" w:color="auto"/>
            <w:right w:val="none" w:sz="0" w:space="0" w:color="auto"/>
          </w:divBdr>
        </w:div>
        <w:div w:id="704989947">
          <w:marLeft w:val="1800"/>
          <w:marRight w:val="0"/>
          <w:marTop w:val="100"/>
          <w:marBottom w:val="0"/>
          <w:divBdr>
            <w:top w:val="none" w:sz="0" w:space="0" w:color="auto"/>
            <w:left w:val="none" w:sz="0" w:space="0" w:color="auto"/>
            <w:bottom w:val="none" w:sz="0" w:space="0" w:color="auto"/>
            <w:right w:val="none" w:sz="0" w:space="0" w:color="auto"/>
          </w:divBdr>
        </w:div>
        <w:div w:id="609121189">
          <w:marLeft w:val="1800"/>
          <w:marRight w:val="0"/>
          <w:marTop w:val="100"/>
          <w:marBottom w:val="0"/>
          <w:divBdr>
            <w:top w:val="none" w:sz="0" w:space="0" w:color="auto"/>
            <w:left w:val="none" w:sz="0" w:space="0" w:color="auto"/>
            <w:bottom w:val="none" w:sz="0" w:space="0" w:color="auto"/>
            <w:right w:val="none" w:sz="0" w:space="0" w:color="auto"/>
          </w:divBdr>
        </w:div>
        <w:div w:id="2012835124">
          <w:marLeft w:val="1080"/>
          <w:marRight w:val="0"/>
          <w:marTop w:val="100"/>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569316975">
      <w:bodyDiv w:val="1"/>
      <w:marLeft w:val="0"/>
      <w:marRight w:val="0"/>
      <w:marTop w:val="0"/>
      <w:marBottom w:val="0"/>
      <w:divBdr>
        <w:top w:val="none" w:sz="0" w:space="0" w:color="auto"/>
        <w:left w:val="none" w:sz="0" w:space="0" w:color="auto"/>
        <w:bottom w:val="none" w:sz="0" w:space="0" w:color="auto"/>
        <w:right w:val="none" w:sz="0" w:space="0" w:color="auto"/>
      </w:divBdr>
      <w:divsChild>
        <w:div w:id="231935431">
          <w:marLeft w:val="360"/>
          <w:marRight w:val="0"/>
          <w:marTop w:val="0"/>
          <w:marBottom w:val="0"/>
          <w:divBdr>
            <w:top w:val="none" w:sz="0" w:space="0" w:color="auto"/>
            <w:left w:val="none" w:sz="0" w:space="0" w:color="auto"/>
            <w:bottom w:val="none" w:sz="0" w:space="0" w:color="auto"/>
            <w:right w:val="none" w:sz="0" w:space="0" w:color="auto"/>
          </w:divBdr>
        </w:div>
      </w:divsChild>
    </w:div>
    <w:div w:id="609316176">
      <w:bodyDiv w:val="1"/>
      <w:marLeft w:val="0"/>
      <w:marRight w:val="0"/>
      <w:marTop w:val="0"/>
      <w:marBottom w:val="0"/>
      <w:divBdr>
        <w:top w:val="none" w:sz="0" w:space="0" w:color="auto"/>
        <w:left w:val="none" w:sz="0" w:space="0" w:color="auto"/>
        <w:bottom w:val="none" w:sz="0" w:space="0" w:color="auto"/>
        <w:right w:val="none" w:sz="0" w:space="0" w:color="auto"/>
      </w:divBdr>
      <w:divsChild>
        <w:div w:id="673991380">
          <w:marLeft w:val="360"/>
          <w:marRight w:val="0"/>
          <w:marTop w:val="200"/>
          <w:marBottom w:val="0"/>
          <w:divBdr>
            <w:top w:val="none" w:sz="0" w:space="0" w:color="auto"/>
            <w:left w:val="none" w:sz="0" w:space="0" w:color="auto"/>
            <w:bottom w:val="none" w:sz="0" w:space="0" w:color="auto"/>
            <w:right w:val="none" w:sz="0" w:space="0" w:color="auto"/>
          </w:divBdr>
        </w:div>
        <w:div w:id="1129780973">
          <w:marLeft w:val="1080"/>
          <w:marRight w:val="0"/>
          <w:marTop w:val="100"/>
          <w:marBottom w:val="0"/>
          <w:divBdr>
            <w:top w:val="none" w:sz="0" w:space="0" w:color="auto"/>
            <w:left w:val="none" w:sz="0" w:space="0" w:color="auto"/>
            <w:bottom w:val="none" w:sz="0" w:space="0" w:color="auto"/>
            <w:right w:val="none" w:sz="0" w:space="0" w:color="auto"/>
          </w:divBdr>
        </w:div>
        <w:div w:id="80105913">
          <w:marLeft w:val="1800"/>
          <w:marRight w:val="0"/>
          <w:marTop w:val="100"/>
          <w:marBottom w:val="0"/>
          <w:divBdr>
            <w:top w:val="none" w:sz="0" w:space="0" w:color="auto"/>
            <w:left w:val="none" w:sz="0" w:space="0" w:color="auto"/>
            <w:bottom w:val="none" w:sz="0" w:space="0" w:color="auto"/>
            <w:right w:val="none" w:sz="0" w:space="0" w:color="auto"/>
          </w:divBdr>
        </w:div>
        <w:div w:id="1115834095">
          <w:marLeft w:val="1800"/>
          <w:marRight w:val="0"/>
          <w:marTop w:val="100"/>
          <w:marBottom w:val="0"/>
          <w:divBdr>
            <w:top w:val="none" w:sz="0" w:space="0" w:color="auto"/>
            <w:left w:val="none" w:sz="0" w:space="0" w:color="auto"/>
            <w:bottom w:val="none" w:sz="0" w:space="0" w:color="auto"/>
            <w:right w:val="none" w:sz="0" w:space="0" w:color="auto"/>
          </w:divBdr>
        </w:div>
        <w:div w:id="1785423407">
          <w:marLeft w:val="1800"/>
          <w:marRight w:val="0"/>
          <w:marTop w:val="100"/>
          <w:marBottom w:val="0"/>
          <w:divBdr>
            <w:top w:val="none" w:sz="0" w:space="0" w:color="auto"/>
            <w:left w:val="none" w:sz="0" w:space="0" w:color="auto"/>
            <w:bottom w:val="none" w:sz="0" w:space="0" w:color="auto"/>
            <w:right w:val="none" w:sz="0" w:space="0" w:color="auto"/>
          </w:divBdr>
        </w:div>
        <w:div w:id="665207647">
          <w:marLeft w:val="1800"/>
          <w:marRight w:val="0"/>
          <w:marTop w:val="100"/>
          <w:marBottom w:val="0"/>
          <w:divBdr>
            <w:top w:val="none" w:sz="0" w:space="0" w:color="auto"/>
            <w:left w:val="none" w:sz="0" w:space="0" w:color="auto"/>
            <w:bottom w:val="none" w:sz="0" w:space="0" w:color="auto"/>
            <w:right w:val="none" w:sz="0" w:space="0" w:color="auto"/>
          </w:divBdr>
        </w:div>
        <w:div w:id="1572544029">
          <w:marLeft w:val="1800"/>
          <w:marRight w:val="0"/>
          <w:marTop w:val="100"/>
          <w:marBottom w:val="0"/>
          <w:divBdr>
            <w:top w:val="none" w:sz="0" w:space="0" w:color="auto"/>
            <w:left w:val="none" w:sz="0" w:space="0" w:color="auto"/>
            <w:bottom w:val="none" w:sz="0" w:space="0" w:color="auto"/>
            <w:right w:val="none" w:sz="0" w:space="0" w:color="auto"/>
          </w:divBdr>
        </w:div>
        <w:div w:id="1771199634">
          <w:marLeft w:val="1800"/>
          <w:marRight w:val="0"/>
          <w:marTop w:val="100"/>
          <w:marBottom w:val="0"/>
          <w:divBdr>
            <w:top w:val="none" w:sz="0" w:space="0" w:color="auto"/>
            <w:left w:val="none" w:sz="0" w:space="0" w:color="auto"/>
            <w:bottom w:val="none" w:sz="0" w:space="0" w:color="auto"/>
            <w:right w:val="none" w:sz="0" w:space="0" w:color="auto"/>
          </w:divBdr>
        </w:div>
        <w:div w:id="830172349">
          <w:marLeft w:val="1080"/>
          <w:marRight w:val="0"/>
          <w:marTop w:val="100"/>
          <w:marBottom w:val="0"/>
          <w:divBdr>
            <w:top w:val="none" w:sz="0" w:space="0" w:color="auto"/>
            <w:left w:val="none" w:sz="0" w:space="0" w:color="auto"/>
            <w:bottom w:val="none" w:sz="0" w:space="0" w:color="auto"/>
            <w:right w:val="none" w:sz="0" w:space="0" w:color="auto"/>
          </w:divBdr>
        </w:div>
        <w:div w:id="724380429">
          <w:marLeft w:val="1800"/>
          <w:marRight w:val="0"/>
          <w:marTop w:val="100"/>
          <w:marBottom w:val="0"/>
          <w:divBdr>
            <w:top w:val="none" w:sz="0" w:space="0" w:color="auto"/>
            <w:left w:val="none" w:sz="0" w:space="0" w:color="auto"/>
            <w:bottom w:val="none" w:sz="0" w:space="0" w:color="auto"/>
            <w:right w:val="none" w:sz="0" w:space="0" w:color="auto"/>
          </w:divBdr>
        </w:div>
        <w:div w:id="546795507">
          <w:marLeft w:val="1800"/>
          <w:marRight w:val="0"/>
          <w:marTop w:val="100"/>
          <w:marBottom w:val="0"/>
          <w:divBdr>
            <w:top w:val="none" w:sz="0" w:space="0" w:color="auto"/>
            <w:left w:val="none" w:sz="0" w:space="0" w:color="auto"/>
            <w:bottom w:val="none" w:sz="0" w:space="0" w:color="auto"/>
            <w:right w:val="none" w:sz="0" w:space="0" w:color="auto"/>
          </w:divBdr>
        </w:div>
        <w:div w:id="1423137391">
          <w:marLeft w:val="1800"/>
          <w:marRight w:val="0"/>
          <w:marTop w:val="100"/>
          <w:marBottom w:val="0"/>
          <w:divBdr>
            <w:top w:val="none" w:sz="0" w:space="0" w:color="auto"/>
            <w:left w:val="none" w:sz="0" w:space="0" w:color="auto"/>
            <w:bottom w:val="none" w:sz="0" w:space="0" w:color="auto"/>
            <w:right w:val="none" w:sz="0" w:space="0" w:color="auto"/>
          </w:divBdr>
        </w:div>
        <w:div w:id="1150708618">
          <w:marLeft w:val="1080"/>
          <w:marRight w:val="0"/>
          <w:marTop w:val="100"/>
          <w:marBottom w:val="0"/>
          <w:divBdr>
            <w:top w:val="none" w:sz="0" w:space="0" w:color="auto"/>
            <w:left w:val="none" w:sz="0" w:space="0" w:color="auto"/>
            <w:bottom w:val="none" w:sz="0" w:space="0" w:color="auto"/>
            <w:right w:val="none" w:sz="0" w:space="0" w:color="auto"/>
          </w:divBdr>
        </w:div>
      </w:divsChild>
    </w:div>
    <w:div w:id="6304028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3571426">
      <w:bodyDiv w:val="1"/>
      <w:marLeft w:val="0"/>
      <w:marRight w:val="0"/>
      <w:marTop w:val="0"/>
      <w:marBottom w:val="0"/>
      <w:divBdr>
        <w:top w:val="none" w:sz="0" w:space="0" w:color="auto"/>
        <w:left w:val="none" w:sz="0" w:space="0" w:color="auto"/>
        <w:bottom w:val="none" w:sz="0" w:space="0" w:color="auto"/>
        <w:right w:val="none" w:sz="0" w:space="0" w:color="auto"/>
      </w:divBdr>
      <w:divsChild>
        <w:div w:id="1643316342">
          <w:marLeft w:val="360"/>
          <w:marRight w:val="0"/>
          <w:marTop w:val="20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432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633503">
      <w:bodyDiv w:val="1"/>
      <w:marLeft w:val="0"/>
      <w:marRight w:val="0"/>
      <w:marTop w:val="0"/>
      <w:marBottom w:val="0"/>
      <w:divBdr>
        <w:top w:val="none" w:sz="0" w:space="0" w:color="auto"/>
        <w:left w:val="none" w:sz="0" w:space="0" w:color="auto"/>
        <w:bottom w:val="none" w:sz="0" w:space="0" w:color="auto"/>
        <w:right w:val="none" w:sz="0" w:space="0" w:color="auto"/>
      </w:divBdr>
    </w:div>
    <w:div w:id="1171986054">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358890097">
      <w:bodyDiv w:val="1"/>
      <w:marLeft w:val="0"/>
      <w:marRight w:val="0"/>
      <w:marTop w:val="0"/>
      <w:marBottom w:val="0"/>
      <w:divBdr>
        <w:top w:val="none" w:sz="0" w:space="0" w:color="auto"/>
        <w:left w:val="none" w:sz="0" w:space="0" w:color="auto"/>
        <w:bottom w:val="none" w:sz="0" w:space="0" w:color="auto"/>
        <w:right w:val="none" w:sz="0" w:space="0" w:color="auto"/>
      </w:divBdr>
    </w:div>
    <w:div w:id="1401556624">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703662">
      <w:bodyDiv w:val="1"/>
      <w:marLeft w:val="0"/>
      <w:marRight w:val="0"/>
      <w:marTop w:val="0"/>
      <w:marBottom w:val="0"/>
      <w:divBdr>
        <w:top w:val="none" w:sz="0" w:space="0" w:color="auto"/>
        <w:left w:val="none" w:sz="0" w:space="0" w:color="auto"/>
        <w:bottom w:val="none" w:sz="0" w:space="0" w:color="auto"/>
        <w:right w:val="none" w:sz="0" w:space="0" w:color="auto"/>
      </w:divBdr>
      <w:divsChild>
        <w:div w:id="569115190">
          <w:marLeft w:val="360"/>
          <w:marRight w:val="0"/>
          <w:marTop w:val="200"/>
          <w:marBottom w:val="0"/>
          <w:divBdr>
            <w:top w:val="none" w:sz="0" w:space="0" w:color="auto"/>
            <w:left w:val="none" w:sz="0" w:space="0" w:color="auto"/>
            <w:bottom w:val="none" w:sz="0" w:space="0" w:color="auto"/>
            <w:right w:val="none" w:sz="0" w:space="0" w:color="auto"/>
          </w:divBdr>
        </w:div>
        <w:div w:id="1876190466">
          <w:marLeft w:val="1080"/>
          <w:marRight w:val="0"/>
          <w:marTop w:val="100"/>
          <w:marBottom w:val="0"/>
          <w:divBdr>
            <w:top w:val="none" w:sz="0" w:space="0" w:color="auto"/>
            <w:left w:val="none" w:sz="0" w:space="0" w:color="auto"/>
            <w:bottom w:val="none" w:sz="0" w:space="0" w:color="auto"/>
            <w:right w:val="none" w:sz="0" w:space="0" w:color="auto"/>
          </w:divBdr>
        </w:div>
        <w:div w:id="227228454">
          <w:marLeft w:val="1800"/>
          <w:marRight w:val="0"/>
          <w:marTop w:val="100"/>
          <w:marBottom w:val="0"/>
          <w:divBdr>
            <w:top w:val="none" w:sz="0" w:space="0" w:color="auto"/>
            <w:left w:val="none" w:sz="0" w:space="0" w:color="auto"/>
            <w:bottom w:val="none" w:sz="0" w:space="0" w:color="auto"/>
            <w:right w:val="none" w:sz="0" w:space="0" w:color="auto"/>
          </w:divBdr>
        </w:div>
        <w:div w:id="1813326166">
          <w:marLeft w:val="1800"/>
          <w:marRight w:val="0"/>
          <w:marTop w:val="100"/>
          <w:marBottom w:val="0"/>
          <w:divBdr>
            <w:top w:val="none" w:sz="0" w:space="0" w:color="auto"/>
            <w:left w:val="none" w:sz="0" w:space="0" w:color="auto"/>
            <w:bottom w:val="none" w:sz="0" w:space="0" w:color="auto"/>
            <w:right w:val="none" w:sz="0" w:space="0" w:color="auto"/>
          </w:divBdr>
        </w:div>
        <w:div w:id="1597786616">
          <w:marLeft w:val="1800"/>
          <w:marRight w:val="0"/>
          <w:marTop w:val="100"/>
          <w:marBottom w:val="0"/>
          <w:divBdr>
            <w:top w:val="none" w:sz="0" w:space="0" w:color="auto"/>
            <w:left w:val="none" w:sz="0" w:space="0" w:color="auto"/>
            <w:bottom w:val="none" w:sz="0" w:space="0" w:color="auto"/>
            <w:right w:val="none" w:sz="0" w:space="0" w:color="auto"/>
          </w:divBdr>
        </w:div>
        <w:div w:id="1727757843">
          <w:marLeft w:val="1800"/>
          <w:marRight w:val="0"/>
          <w:marTop w:val="100"/>
          <w:marBottom w:val="0"/>
          <w:divBdr>
            <w:top w:val="none" w:sz="0" w:space="0" w:color="auto"/>
            <w:left w:val="none" w:sz="0" w:space="0" w:color="auto"/>
            <w:bottom w:val="none" w:sz="0" w:space="0" w:color="auto"/>
            <w:right w:val="none" w:sz="0" w:space="0" w:color="auto"/>
          </w:divBdr>
        </w:div>
        <w:div w:id="1793552026">
          <w:marLeft w:val="1800"/>
          <w:marRight w:val="0"/>
          <w:marTop w:val="100"/>
          <w:marBottom w:val="0"/>
          <w:divBdr>
            <w:top w:val="none" w:sz="0" w:space="0" w:color="auto"/>
            <w:left w:val="none" w:sz="0" w:space="0" w:color="auto"/>
            <w:bottom w:val="none" w:sz="0" w:space="0" w:color="auto"/>
            <w:right w:val="none" w:sz="0" w:space="0" w:color="auto"/>
          </w:divBdr>
        </w:div>
        <w:div w:id="964191070">
          <w:marLeft w:val="1800"/>
          <w:marRight w:val="0"/>
          <w:marTop w:val="100"/>
          <w:marBottom w:val="0"/>
          <w:divBdr>
            <w:top w:val="none" w:sz="0" w:space="0" w:color="auto"/>
            <w:left w:val="none" w:sz="0" w:space="0" w:color="auto"/>
            <w:bottom w:val="none" w:sz="0" w:space="0" w:color="auto"/>
            <w:right w:val="none" w:sz="0" w:space="0" w:color="auto"/>
          </w:divBdr>
        </w:div>
        <w:div w:id="661853952">
          <w:marLeft w:val="1080"/>
          <w:marRight w:val="0"/>
          <w:marTop w:val="100"/>
          <w:marBottom w:val="0"/>
          <w:divBdr>
            <w:top w:val="none" w:sz="0" w:space="0" w:color="auto"/>
            <w:left w:val="none" w:sz="0" w:space="0" w:color="auto"/>
            <w:bottom w:val="none" w:sz="0" w:space="0" w:color="auto"/>
            <w:right w:val="none" w:sz="0" w:space="0" w:color="auto"/>
          </w:divBdr>
        </w:div>
        <w:div w:id="284822615">
          <w:marLeft w:val="1800"/>
          <w:marRight w:val="0"/>
          <w:marTop w:val="100"/>
          <w:marBottom w:val="0"/>
          <w:divBdr>
            <w:top w:val="none" w:sz="0" w:space="0" w:color="auto"/>
            <w:left w:val="none" w:sz="0" w:space="0" w:color="auto"/>
            <w:bottom w:val="none" w:sz="0" w:space="0" w:color="auto"/>
            <w:right w:val="none" w:sz="0" w:space="0" w:color="auto"/>
          </w:divBdr>
        </w:div>
        <w:div w:id="1856379520">
          <w:marLeft w:val="1800"/>
          <w:marRight w:val="0"/>
          <w:marTop w:val="100"/>
          <w:marBottom w:val="0"/>
          <w:divBdr>
            <w:top w:val="none" w:sz="0" w:space="0" w:color="auto"/>
            <w:left w:val="none" w:sz="0" w:space="0" w:color="auto"/>
            <w:bottom w:val="none" w:sz="0" w:space="0" w:color="auto"/>
            <w:right w:val="none" w:sz="0" w:space="0" w:color="auto"/>
          </w:divBdr>
        </w:div>
        <w:div w:id="2107651265">
          <w:marLeft w:val="1800"/>
          <w:marRight w:val="0"/>
          <w:marTop w:val="100"/>
          <w:marBottom w:val="0"/>
          <w:divBdr>
            <w:top w:val="none" w:sz="0" w:space="0" w:color="auto"/>
            <w:left w:val="none" w:sz="0" w:space="0" w:color="auto"/>
            <w:bottom w:val="none" w:sz="0" w:space="0" w:color="auto"/>
            <w:right w:val="none" w:sz="0" w:space="0" w:color="auto"/>
          </w:divBdr>
        </w:div>
        <w:div w:id="468549243">
          <w:marLeft w:val="1080"/>
          <w:marRight w:val="0"/>
          <w:marTop w:val="100"/>
          <w:marBottom w:val="0"/>
          <w:divBdr>
            <w:top w:val="none" w:sz="0" w:space="0" w:color="auto"/>
            <w:left w:val="none" w:sz="0" w:space="0" w:color="auto"/>
            <w:bottom w:val="none" w:sz="0" w:space="0" w:color="auto"/>
            <w:right w:val="none" w:sz="0" w:space="0" w:color="auto"/>
          </w:divBdr>
        </w:div>
      </w:divsChild>
    </w:div>
    <w:div w:id="1566794150">
      <w:bodyDiv w:val="1"/>
      <w:marLeft w:val="0"/>
      <w:marRight w:val="0"/>
      <w:marTop w:val="0"/>
      <w:marBottom w:val="0"/>
      <w:divBdr>
        <w:top w:val="none" w:sz="0" w:space="0" w:color="auto"/>
        <w:left w:val="none" w:sz="0" w:space="0" w:color="auto"/>
        <w:bottom w:val="none" w:sz="0" w:space="0" w:color="auto"/>
        <w:right w:val="none" w:sz="0" w:space="0" w:color="auto"/>
      </w:divBdr>
    </w:div>
    <w:div w:id="1569530767">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632385">
      <w:bodyDiv w:val="1"/>
      <w:marLeft w:val="0"/>
      <w:marRight w:val="0"/>
      <w:marTop w:val="0"/>
      <w:marBottom w:val="0"/>
      <w:divBdr>
        <w:top w:val="none" w:sz="0" w:space="0" w:color="auto"/>
        <w:left w:val="none" w:sz="0" w:space="0" w:color="auto"/>
        <w:bottom w:val="none" w:sz="0" w:space="0" w:color="auto"/>
        <w:right w:val="none" w:sz="0" w:space="0" w:color="auto"/>
      </w:divBdr>
    </w:div>
    <w:div w:id="1673484368">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22984659">
      <w:bodyDiv w:val="1"/>
      <w:marLeft w:val="0"/>
      <w:marRight w:val="0"/>
      <w:marTop w:val="0"/>
      <w:marBottom w:val="0"/>
      <w:divBdr>
        <w:top w:val="none" w:sz="0" w:space="0" w:color="auto"/>
        <w:left w:val="none" w:sz="0" w:space="0" w:color="auto"/>
        <w:bottom w:val="none" w:sz="0" w:space="0" w:color="auto"/>
        <w:right w:val="none" w:sz="0" w:space="0" w:color="auto"/>
      </w:divBdr>
    </w:div>
    <w:div w:id="197579479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3431975">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s\R4-190208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8B9E-8EFB-471D-8B1D-5457598A6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2019-04-01T09:08:00Z</dcterms:created>
  <dcterms:modified xsi:type="dcterms:W3CDTF">2019-04-01T13:24:00Z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ff6f6757-f163-4c6d-9b26-a413c9338c37</vt:lpwstr>
  </property>
  <property fmtid="{D5CDD505-2E9C-101B-9397-08002B2CF9AE}" pid="3" name="CTP_TimeStamp">
    <vt:lpwstr>2019-04-01 09:19:30Z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